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08B252" w14:textId="34557294" w:rsidR="00E83953" w:rsidRPr="0090182C" w:rsidRDefault="00E83953" w:rsidP="00E83953">
      <w:pPr>
        <w:jc w:val="center"/>
        <w:rPr>
          <w:b/>
          <w:bCs/>
          <w:sz w:val="32"/>
          <w:szCs w:val="32"/>
        </w:rPr>
      </w:pPr>
      <w:r w:rsidRPr="0090182C">
        <w:rPr>
          <w:b/>
          <w:bCs/>
          <w:sz w:val="32"/>
          <w:szCs w:val="32"/>
        </w:rPr>
        <w:t xml:space="preserve">Projektna naloga za izdelavo </w:t>
      </w:r>
      <w:r w:rsidR="00F73561" w:rsidRPr="0090182C">
        <w:rPr>
          <w:b/>
          <w:bCs/>
          <w:sz w:val="32"/>
          <w:szCs w:val="32"/>
        </w:rPr>
        <w:t>idejne zasnove projekta</w:t>
      </w:r>
      <w:r w:rsidRPr="0090182C">
        <w:rPr>
          <w:b/>
          <w:bCs/>
          <w:sz w:val="32"/>
          <w:szCs w:val="32"/>
        </w:rPr>
        <w:t xml:space="preserve"> plovnosti in energetske izrabe Ljubljanice</w:t>
      </w:r>
    </w:p>
    <w:p w14:paraId="52ADDA11" w14:textId="77777777" w:rsidR="00E83953" w:rsidRDefault="00E83953" w:rsidP="00E83953">
      <w:pPr>
        <w:jc w:val="both"/>
      </w:pPr>
    </w:p>
    <w:p w14:paraId="729395C4" w14:textId="6308AA44" w:rsidR="00E83953" w:rsidRPr="00213033" w:rsidRDefault="00E83953" w:rsidP="00E83953">
      <w:pPr>
        <w:jc w:val="both"/>
      </w:pPr>
      <w:r>
        <w:t>Večnamenski projekt Vzpostavitve krožne plovne poti, energetske izrabe in zagotovitve prehodnosti pregrad</w:t>
      </w:r>
      <w:r w:rsidR="00DD367E">
        <w:t xml:space="preserve"> za ribe</w:t>
      </w:r>
      <w:r>
        <w:t xml:space="preserve"> na Ljubljanici </w:t>
      </w:r>
      <w:r w:rsidRPr="00855C16">
        <w:t>obravnava odsek Ljubljanice od cestnega mostu pri Livadi do peš mostu preko Ljubljanice gorvodno od Fužin</w:t>
      </w:r>
      <w:r>
        <w:t>skega jezu</w:t>
      </w:r>
      <w:r w:rsidRPr="00855C16">
        <w:t xml:space="preserve">. </w:t>
      </w:r>
      <w:r w:rsidR="00DD367E">
        <w:t>Projekt se razvija na osnovi</w:t>
      </w:r>
      <w:r w:rsidRPr="00855C16">
        <w:t xml:space="preserve"> </w:t>
      </w:r>
      <w:r>
        <w:t>Dogovor</w:t>
      </w:r>
      <w:r w:rsidR="00DD367E">
        <w:t>a</w:t>
      </w:r>
      <w:r w:rsidRPr="00855C16">
        <w:t xml:space="preserve"> Energetike Ljubljana</w:t>
      </w:r>
      <w:r>
        <w:t xml:space="preserve">, Mestne občine Ljubljana, Direkcije </w:t>
      </w:r>
      <w:r w:rsidR="00DD367E">
        <w:t xml:space="preserve">RS </w:t>
      </w:r>
      <w:r>
        <w:t>za vodo ter Elektro Ljubljana</w:t>
      </w:r>
      <w:r w:rsidRPr="00855C16">
        <w:t>, da se zagotovi sklenjena plovna pot po Ljubljanici in Gruberjevem prekopu okrog Grajskega hriba</w:t>
      </w:r>
      <w:r>
        <w:t>, ustrezno uredi vodna infrastruktura</w:t>
      </w:r>
      <w:r w:rsidRPr="00855C16">
        <w:t xml:space="preserve"> ter </w:t>
      </w:r>
      <w:r>
        <w:t xml:space="preserve">sočasno </w:t>
      </w:r>
      <w:r w:rsidRPr="00855C16">
        <w:t xml:space="preserve">izkoristi razpoložljiv energetski potencial. Vsi posegi in ureditve morajo zagotavljati čim manj vplivov na vodno okolje. </w:t>
      </w:r>
      <w:r>
        <w:t>S</w:t>
      </w:r>
      <w:r w:rsidRPr="00855C16">
        <w:t xml:space="preserve"> projektom </w:t>
      </w:r>
      <w:r>
        <w:t>se izboljšuje</w:t>
      </w:r>
      <w:r w:rsidRPr="00855C16">
        <w:t xml:space="preserve"> funkcionalnost obeh</w:t>
      </w:r>
      <w:r>
        <w:t xml:space="preserve"> obstoječih</w:t>
      </w:r>
      <w:r w:rsidRPr="00855C16">
        <w:t xml:space="preserve"> jezov na Ljubljanici z vidika zagotavljanja poplavne varnosti Barja in jugozahodnega dela Ljubljan</w:t>
      </w:r>
      <w:r w:rsidR="00DD367E">
        <w:t xml:space="preserve">e, </w:t>
      </w:r>
      <w:r w:rsidRPr="00855C16">
        <w:t>z vidika prehodnosti za ribe</w:t>
      </w:r>
      <w:r w:rsidR="00DD367E">
        <w:t xml:space="preserve">. Projekt bo preko proizvodnje </w:t>
      </w:r>
      <w:r w:rsidR="00C50FF8">
        <w:t>električne energije (</w:t>
      </w:r>
      <w:r w:rsidR="00DD367E">
        <w:t>EE</w:t>
      </w:r>
      <w:r w:rsidR="00C50FF8">
        <w:t>)</w:t>
      </w:r>
      <w:r w:rsidR="00DD367E">
        <w:t xml:space="preserve"> v MHE zmanjšal ogl</w:t>
      </w:r>
      <w:r w:rsidR="00C50FF8">
        <w:t>j</w:t>
      </w:r>
      <w:r w:rsidR="00DD367E">
        <w:t xml:space="preserve">ični odtis proizvodnje EE za potrebe javne razsvetljave mesta Ljubljane, razbremenil cestno infrastrukturo in z dvigom </w:t>
      </w:r>
      <w:r w:rsidR="00DD367E" w:rsidRPr="00361146">
        <w:t xml:space="preserve">gladine </w:t>
      </w:r>
      <w:r w:rsidR="00DD367E">
        <w:t>Ljubljanice</w:t>
      </w:r>
      <w:r w:rsidR="000B41CA">
        <w:t>, brez škode za kmetijstvo, ne samo zaustavil propadanje šotišč</w:t>
      </w:r>
      <w:r w:rsidR="00C50FF8">
        <w:t>,</w:t>
      </w:r>
      <w:r w:rsidR="000B41CA">
        <w:t xml:space="preserve"> ampak renaturiral mokrišča in s tem zagotovil okolje za obstoj biotske raznovrstnosti Ljubljanskega barja kot naravne vrednote. </w:t>
      </w:r>
      <w:r>
        <w:t>Prav tako se p</w:t>
      </w:r>
      <w:r w:rsidRPr="00855C16">
        <w:t>ričakuj</w:t>
      </w:r>
      <w:r>
        <w:t>e</w:t>
      </w:r>
      <w:r w:rsidRPr="00855C16">
        <w:t>, da se bodo z ureditvijo in rednim vzdrževanjem plovnih poti izboljšale tudi odtočne razmere ob visokih vodah.</w:t>
      </w:r>
      <w:r>
        <w:t xml:space="preserve"> Navedene rešitve so bile obdelane v strokovni podlagi (1).</w:t>
      </w:r>
    </w:p>
    <w:p w14:paraId="22E56702" w14:textId="77777777" w:rsidR="00E83953" w:rsidRPr="003002C9" w:rsidRDefault="00E83953" w:rsidP="00E83953">
      <w:pPr>
        <w:pStyle w:val="Naslov1"/>
      </w:pPr>
      <w:r>
        <w:t>Opis projekta</w:t>
      </w:r>
    </w:p>
    <w:p w14:paraId="55AD734B" w14:textId="77777777" w:rsidR="00E83953" w:rsidRDefault="00E83953" w:rsidP="00E83953">
      <w:pPr>
        <w:jc w:val="both"/>
      </w:pPr>
      <w:r>
        <w:t>Trije osnovni elementi večnamenskega projekta so zagotavljanje krožne plovne poti okrog Grajskega hriba na območju med Livado in Fužinami, energetska izraba ter izboljšanje vodne infrastrukture, vključno z zagotovitvijo prehodnosti pregrad za ribe.</w:t>
      </w:r>
    </w:p>
    <w:p w14:paraId="7A2CED98" w14:textId="77777777" w:rsidR="00E83953" w:rsidRDefault="00E83953" w:rsidP="00E83953">
      <w:pPr>
        <w:jc w:val="both"/>
      </w:pPr>
      <w:r w:rsidRPr="001E447E">
        <w:rPr>
          <w:noProof/>
          <w:lang w:eastAsia="sl-SI"/>
        </w:rPr>
        <w:drawing>
          <wp:inline distT="0" distB="0" distL="0" distR="0" wp14:anchorId="715656A9" wp14:editId="184779B3">
            <wp:extent cx="5760720" cy="2841625"/>
            <wp:effectExtent l="0" t="0" r="0" b="0"/>
            <wp:docPr id="1538532229" name="Slika 1" descr="Slika, ki vsebuje besede zemljevid, besedilo, atlas,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532229" name="Slika 1" descr="Slika, ki vsebuje besede zemljevid, besedilo, atlas, diagram&#10;&#10;Opis je samodejno ustvarjen"/>
                    <pic:cNvPicPr/>
                  </pic:nvPicPr>
                  <pic:blipFill>
                    <a:blip r:embed="rId7"/>
                    <a:stretch>
                      <a:fillRect/>
                    </a:stretch>
                  </pic:blipFill>
                  <pic:spPr>
                    <a:xfrm>
                      <a:off x="0" y="0"/>
                      <a:ext cx="5760720" cy="2841625"/>
                    </a:xfrm>
                    <a:prstGeom prst="rect">
                      <a:avLst/>
                    </a:prstGeom>
                  </pic:spPr>
                </pic:pic>
              </a:graphicData>
            </a:graphic>
          </wp:inline>
        </w:drawing>
      </w:r>
    </w:p>
    <w:p w14:paraId="28A3C8E5" w14:textId="77777777" w:rsidR="00E83953" w:rsidRPr="001E447E" w:rsidRDefault="00E83953" w:rsidP="00E83953">
      <w:pPr>
        <w:jc w:val="center"/>
      </w:pPr>
      <w:r>
        <w:rPr>
          <w:b/>
          <w:bCs/>
        </w:rPr>
        <w:t xml:space="preserve">Slika 1: </w:t>
      </w:r>
      <w:r>
        <w:t>Območje projekta in posegov.</w:t>
      </w:r>
    </w:p>
    <w:p w14:paraId="2E5EC997" w14:textId="77777777" w:rsidR="00E83953" w:rsidRDefault="00E83953" w:rsidP="00E83953">
      <w:pPr>
        <w:jc w:val="both"/>
        <w:rPr>
          <w:b/>
          <w:bCs/>
        </w:rPr>
      </w:pPr>
    </w:p>
    <w:p w14:paraId="05687BE1" w14:textId="0A67740F" w:rsidR="00E83953" w:rsidRDefault="00E83953" w:rsidP="00E83953">
      <w:pPr>
        <w:jc w:val="both"/>
      </w:pPr>
      <w:r w:rsidRPr="000C325B">
        <w:rPr>
          <w:b/>
          <w:bCs/>
        </w:rPr>
        <w:t>Pri Plečnikovi zapornici</w:t>
      </w:r>
      <w:r w:rsidRPr="000C325B">
        <w:t xml:space="preserve"> je </w:t>
      </w:r>
      <w:r>
        <w:t xml:space="preserve">na </w:t>
      </w:r>
      <w:r w:rsidRPr="000C325B">
        <w:t>desn</w:t>
      </w:r>
      <w:r>
        <w:t>em</w:t>
      </w:r>
      <w:r w:rsidRPr="000C325B">
        <w:t xml:space="preserve"> breg</w:t>
      </w:r>
      <w:r>
        <w:t>u</w:t>
      </w:r>
      <w:r w:rsidRPr="000C325B">
        <w:t xml:space="preserve"> predlagana izgradnja splavnice za plovila do 10 m dolžine in prehod</w:t>
      </w:r>
      <w:r>
        <w:t>a</w:t>
      </w:r>
      <w:r w:rsidRPr="000C325B">
        <w:t xml:space="preserve"> za ribe v tehnični obliki. </w:t>
      </w:r>
      <w:r w:rsidR="00937CD3">
        <w:t xml:space="preserve">V prvi fazi je bila predvidena tudi </w:t>
      </w:r>
      <w:r w:rsidR="00937CD3" w:rsidRPr="000C325B">
        <w:t>mal</w:t>
      </w:r>
      <w:r w:rsidR="00937CD3">
        <w:t>a</w:t>
      </w:r>
      <w:r w:rsidR="00937CD3" w:rsidRPr="000C325B">
        <w:t xml:space="preserve"> hidroelektrarn</w:t>
      </w:r>
      <w:r w:rsidR="00937CD3">
        <w:t>a</w:t>
      </w:r>
      <w:r w:rsidR="00937CD3" w:rsidRPr="000C325B">
        <w:t xml:space="preserve"> (MHE) z enim klasičnim agregatom inštaliranega pretoka 25 m</w:t>
      </w:r>
      <w:r w:rsidR="00937CD3" w:rsidRPr="000C325B">
        <w:rPr>
          <w:vertAlign w:val="superscript"/>
        </w:rPr>
        <w:t>3</w:t>
      </w:r>
      <w:r w:rsidR="00937CD3" w:rsidRPr="000C325B">
        <w:t>/s,</w:t>
      </w:r>
      <w:r w:rsidR="00937CD3">
        <w:t xml:space="preserve"> vendar je na podlagi izdelanega elaborata </w:t>
      </w:r>
      <w:r w:rsidR="00937CD3">
        <w:lastRenderedPageBreak/>
        <w:t xml:space="preserve">energetske izrabe Ljubljanice na lokaciji pregrad, v tej fazi ni več aktualna. </w:t>
      </w:r>
      <w:r w:rsidRPr="000C325B">
        <w:t>Na pregradi je pred</w:t>
      </w:r>
      <w:r>
        <w:t>videna tudi</w:t>
      </w:r>
      <w:r w:rsidRPr="000C325B">
        <w:t xml:space="preserve"> zamenjava</w:t>
      </w:r>
      <w:r w:rsidR="00937CD3">
        <w:t xml:space="preserve"> in avtomatizacija</w:t>
      </w:r>
      <w:r w:rsidRPr="000C325B">
        <w:t xml:space="preserve"> zapornic</w:t>
      </w:r>
      <w:r>
        <w:t>, ka</w:t>
      </w:r>
      <w:r w:rsidR="00937CD3">
        <w:t>r je v domeni DRSV in ni del te idejne zasnove projekta, je pa potrebno upoštevati oz. predpisati ev. povezanost obratovanja splavnice z zapornico</w:t>
      </w:r>
      <w:r w:rsidRPr="000C325B">
        <w:t xml:space="preserve">. Navedeni objekti in naprave se bodo vključili v predvideno ureditev Ambroževega trga in </w:t>
      </w:r>
      <w:r>
        <w:t xml:space="preserve">že </w:t>
      </w:r>
      <w:r w:rsidRPr="000C325B">
        <w:t>obnovljene Cukrarne.</w:t>
      </w:r>
      <w:r>
        <w:t xml:space="preserve"> </w:t>
      </w:r>
    </w:p>
    <w:p w14:paraId="033DE0EC" w14:textId="77777777" w:rsidR="00937CD3" w:rsidRDefault="00937CD3" w:rsidP="00E83953">
      <w:pPr>
        <w:jc w:val="both"/>
      </w:pPr>
    </w:p>
    <w:p w14:paraId="146507EF" w14:textId="77777777" w:rsidR="00E83953" w:rsidRDefault="00E83953" w:rsidP="00E83953">
      <w:pPr>
        <w:jc w:val="both"/>
      </w:pPr>
    </w:p>
    <w:p w14:paraId="02EE2136" w14:textId="77777777" w:rsidR="00E83953" w:rsidRPr="00343BBF" w:rsidRDefault="00E83953" w:rsidP="00E83953">
      <w:pPr>
        <w:jc w:val="both"/>
        <w:rPr>
          <w:i/>
          <w:iCs/>
          <w:color w:val="FF0000"/>
        </w:rPr>
      </w:pPr>
      <w:r w:rsidRPr="00790E98">
        <w:rPr>
          <w:i/>
          <w:iCs/>
          <w:noProof/>
          <w:color w:val="FF0000"/>
        </w:rPr>
        <w:drawing>
          <wp:inline distT="0" distB="0" distL="0" distR="0" wp14:anchorId="09147583" wp14:editId="70ECDFE1">
            <wp:extent cx="5760720" cy="1062990"/>
            <wp:effectExtent l="0" t="0" r="0" b="381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1062990"/>
                    </a:xfrm>
                    <a:prstGeom prst="rect">
                      <a:avLst/>
                    </a:prstGeom>
                    <a:noFill/>
                    <a:ln>
                      <a:noFill/>
                    </a:ln>
                  </pic:spPr>
                </pic:pic>
              </a:graphicData>
            </a:graphic>
          </wp:inline>
        </w:drawing>
      </w:r>
      <w:r w:rsidRPr="00790E98">
        <w:rPr>
          <w:i/>
          <w:iCs/>
          <w:noProof/>
          <w:color w:val="FF0000"/>
        </w:rPr>
        <w:drawing>
          <wp:inline distT="0" distB="0" distL="0" distR="0" wp14:anchorId="4A55AAE8" wp14:editId="538A5CF9">
            <wp:extent cx="5760720" cy="1062990"/>
            <wp:effectExtent l="0" t="0" r="0" b="381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1062990"/>
                    </a:xfrm>
                    <a:prstGeom prst="rect">
                      <a:avLst/>
                    </a:prstGeom>
                    <a:noFill/>
                    <a:ln>
                      <a:noFill/>
                    </a:ln>
                  </pic:spPr>
                </pic:pic>
              </a:graphicData>
            </a:graphic>
          </wp:inline>
        </w:drawing>
      </w:r>
    </w:p>
    <w:p w14:paraId="047CCFBD" w14:textId="72104508" w:rsidR="00E83953" w:rsidRDefault="00E83953" w:rsidP="00E83953">
      <w:pPr>
        <w:jc w:val="center"/>
      </w:pPr>
      <w:r>
        <w:rPr>
          <w:b/>
          <w:bCs/>
        </w:rPr>
        <w:t>Slika 2</w:t>
      </w:r>
      <w:r w:rsidR="00B25131">
        <w:rPr>
          <w:b/>
          <w:bCs/>
        </w:rPr>
        <w:t>a</w:t>
      </w:r>
      <w:r>
        <w:rPr>
          <w:b/>
          <w:bCs/>
        </w:rPr>
        <w:t xml:space="preserve">: </w:t>
      </w:r>
      <w:r w:rsidRPr="00CA547B">
        <w:t xml:space="preserve">Situacija ureditev </w:t>
      </w:r>
      <w:r>
        <w:t>na Ambroževem trgu</w:t>
      </w:r>
      <w:r w:rsidR="00937CD3">
        <w:t xml:space="preserve"> – umestitev prehoda za ribe</w:t>
      </w:r>
    </w:p>
    <w:p w14:paraId="37222D0B" w14:textId="3526BE89" w:rsidR="00937CD3" w:rsidRDefault="00937CD3" w:rsidP="00E83953">
      <w:pPr>
        <w:jc w:val="center"/>
      </w:pPr>
    </w:p>
    <w:p w14:paraId="2A6868CF" w14:textId="1A6F9F8E" w:rsidR="00937CD3" w:rsidRDefault="00937CD3" w:rsidP="00937CD3">
      <w:pPr>
        <w:jc w:val="both"/>
      </w:pPr>
      <w:r>
        <w:t>Za lokacijo pri Plečnikovi zapornici (Ambrožev trg) je bila, za namen umeščanja v prostor</w:t>
      </w:r>
      <w:r w:rsidR="00B25131">
        <w:t xml:space="preserve"> in uskladitve z obstoječo arhitekturo</w:t>
      </w:r>
      <w:r w:rsidR="00C50FF8">
        <w:t>,</w:t>
      </w:r>
      <w:r w:rsidR="00B25131">
        <w:t xml:space="preserve"> izdelana</w:t>
      </w:r>
      <w:r>
        <w:t xml:space="preserve"> idejna zasnova splavnice in MHE. Pri izdelavi IZP je potrebno upoštevati</w:t>
      </w:r>
      <w:r w:rsidR="00B25131">
        <w:t xml:space="preserve"> rešitev izdelovalca Scapelab v delu splavnice in zunanje ureditve lokacije. </w:t>
      </w:r>
    </w:p>
    <w:p w14:paraId="4C205675" w14:textId="77777777" w:rsidR="00B25131" w:rsidRDefault="00B25131" w:rsidP="00937CD3">
      <w:pPr>
        <w:jc w:val="both"/>
      </w:pPr>
    </w:p>
    <w:p w14:paraId="06E28184" w14:textId="3A8F556F" w:rsidR="00937CD3" w:rsidRPr="00CA547B" w:rsidRDefault="00937CD3" w:rsidP="00937CD3">
      <w:pPr>
        <w:jc w:val="both"/>
      </w:pPr>
      <w:r>
        <w:rPr>
          <w:noProof/>
          <w:lang w:eastAsia="sl-SI"/>
        </w:rPr>
        <w:drawing>
          <wp:inline distT="0" distB="0" distL="0" distR="0" wp14:anchorId="27CD4ACF" wp14:editId="11CB26A9">
            <wp:extent cx="5760720" cy="3176270"/>
            <wp:effectExtent l="0" t="0" r="0" b="5080"/>
            <wp:docPr id="728394163" name="Slika 1" descr="Slika, ki vsebuje besede zemljevid, diagram, vrstic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394163" name="Slika 1" descr="Slika, ki vsebuje besede zemljevid, diagram, vrstica&#10;&#10;Opis je samodejno ustvarjen"/>
                    <pic:cNvPicPr>
                      <a:picLocks noChangeAspect="1"/>
                    </pic:cNvPicPr>
                  </pic:nvPicPr>
                  <pic:blipFill>
                    <a:blip r:embed="rId10"/>
                    <a:stretch>
                      <a:fillRect/>
                    </a:stretch>
                  </pic:blipFill>
                  <pic:spPr>
                    <a:xfrm>
                      <a:off x="0" y="0"/>
                      <a:ext cx="5760720" cy="3176270"/>
                    </a:xfrm>
                    <a:prstGeom prst="rect">
                      <a:avLst/>
                    </a:prstGeom>
                  </pic:spPr>
                </pic:pic>
              </a:graphicData>
            </a:graphic>
          </wp:inline>
        </w:drawing>
      </w:r>
    </w:p>
    <w:p w14:paraId="2693128D" w14:textId="17B0B5DA" w:rsidR="00B25131" w:rsidRPr="00CA547B" w:rsidRDefault="00B25131" w:rsidP="00B25131">
      <w:pPr>
        <w:jc w:val="center"/>
      </w:pPr>
      <w:r>
        <w:rPr>
          <w:b/>
          <w:bCs/>
        </w:rPr>
        <w:t xml:space="preserve">Slika 2b: </w:t>
      </w:r>
      <w:r w:rsidRPr="00CA547B">
        <w:t xml:space="preserve">Situacija ureditev </w:t>
      </w:r>
      <w:r>
        <w:t>na Ambroževem trgu (Scapelab, 2023)</w:t>
      </w:r>
      <w:r w:rsidRPr="00CA547B">
        <w:t>.</w:t>
      </w:r>
    </w:p>
    <w:p w14:paraId="433A4534" w14:textId="77777777" w:rsidR="00E83953" w:rsidRDefault="00E83953" w:rsidP="00E83953">
      <w:pPr>
        <w:jc w:val="both"/>
        <w:rPr>
          <w:b/>
          <w:bCs/>
        </w:rPr>
      </w:pPr>
    </w:p>
    <w:p w14:paraId="4891F509" w14:textId="77777777" w:rsidR="00E83953" w:rsidRDefault="00E83953" w:rsidP="00E83953">
      <w:pPr>
        <w:jc w:val="both"/>
      </w:pPr>
      <w:r w:rsidRPr="000C325B">
        <w:rPr>
          <w:b/>
          <w:bCs/>
        </w:rPr>
        <w:t>Na Gruberjevem prekopu</w:t>
      </w:r>
      <w:r w:rsidRPr="000C325B">
        <w:t xml:space="preserve"> je predlagana izgradnja jezu z visokovodnim prelivom, sodobn</w:t>
      </w:r>
      <w:r>
        <w:t>a</w:t>
      </w:r>
      <w:r w:rsidRPr="000C325B">
        <w:t xml:space="preserve"> MHE z gibljivo strojnico z inštaliranim pretokom 20 m</w:t>
      </w:r>
      <w:r w:rsidRPr="000C325B">
        <w:rPr>
          <w:vertAlign w:val="superscript"/>
        </w:rPr>
        <w:t>3</w:t>
      </w:r>
      <w:r w:rsidRPr="000C325B">
        <w:t xml:space="preserve">/s, splavnica za plovila do 10 m dolžine, prehod za ribe v </w:t>
      </w:r>
      <w:r>
        <w:t>tehnični</w:t>
      </w:r>
      <w:r w:rsidRPr="000C325B">
        <w:t xml:space="preserve"> </w:t>
      </w:r>
      <w:r>
        <w:t>obliki</w:t>
      </w:r>
      <w:r w:rsidRPr="000C325B">
        <w:t xml:space="preserve"> ter premostitev za peš in kolesarski promet. Širšo okolico tega večnamenskega objekta se uredi kot zeleno območje za rekreacijo z izobraževalnimi vsebinami</w:t>
      </w:r>
      <w:r>
        <w:t>.</w:t>
      </w:r>
    </w:p>
    <w:p w14:paraId="22723D2D" w14:textId="77777777" w:rsidR="00E83953" w:rsidRDefault="00E83953" w:rsidP="00E83953">
      <w:pPr>
        <w:jc w:val="both"/>
      </w:pPr>
      <w:r w:rsidRPr="00790E98">
        <w:rPr>
          <w:noProof/>
        </w:rPr>
        <w:drawing>
          <wp:inline distT="0" distB="0" distL="0" distR="0" wp14:anchorId="7E1D9C5D" wp14:editId="510488CE">
            <wp:extent cx="5760720" cy="1172210"/>
            <wp:effectExtent l="0" t="0" r="0" b="889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1172210"/>
                    </a:xfrm>
                    <a:prstGeom prst="rect">
                      <a:avLst/>
                    </a:prstGeom>
                    <a:noFill/>
                    <a:ln>
                      <a:noFill/>
                    </a:ln>
                  </pic:spPr>
                </pic:pic>
              </a:graphicData>
            </a:graphic>
          </wp:inline>
        </w:drawing>
      </w:r>
      <w:r w:rsidRPr="00790E98">
        <w:rPr>
          <w:noProof/>
        </w:rPr>
        <w:drawing>
          <wp:inline distT="0" distB="0" distL="0" distR="0" wp14:anchorId="36012BC4" wp14:editId="65F8CB61">
            <wp:extent cx="5760720" cy="1172210"/>
            <wp:effectExtent l="0" t="0" r="0" b="889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1172210"/>
                    </a:xfrm>
                    <a:prstGeom prst="rect">
                      <a:avLst/>
                    </a:prstGeom>
                    <a:noFill/>
                    <a:ln>
                      <a:noFill/>
                    </a:ln>
                  </pic:spPr>
                </pic:pic>
              </a:graphicData>
            </a:graphic>
          </wp:inline>
        </w:drawing>
      </w:r>
    </w:p>
    <w:p w14:paraId="13A1B833" w14:textId="77777777" w:rsidR="00E83953" w:rsidRDefault="00E83953" w:rsidP="00E83953">
      <w:pPr>
        <w:jc w:val="center"/>
      </w:pPr>
      <w:r>
        <w:rPr>
          <w:b/>
          <w:bCs/>
        </w:rPr>
        <w:t xml:space="preserve">Slika 3a: </w:t>
      </w:r>
      <w:r>
        <w:rPr>
          <w:rFonts w:ascii="Calibri" w:hAnsi="Calibri" w:cs="Calibri"/>
          <w:kern w:val="0"/>
          <w:sz w:val="20"/>
          <w:szCs w:val="20"/>
        </w:rPr>
        <w:t>Predvidena oblika in dimenzije PzR v okviru nove ureditve v Gruberjevem prekopu.</w:t>
      </w:r>
    </w:p>
    <w:p w14:paraId="3E242FA1" w14:textId="77777777" w:rsidR="00E83953" w:rsidRPr="003002C9" w:rsidRDefault="00E83953" w:rsidP="00E83953">
      <w:pPr>
        <w:jc w:val="center"/>
      </w:pPr>
      <w:r w:rsidRPr="00790E98">
        <w:rPr>
          <w:noProof/>
        </w:rPr>
        <w:drawing>
          <wp:inline distT="0" distB="0" distL="0" distR="0" wp14:anchorId="149F2587" wp14:editId="386F64FD">
            <wp:extent cx="5760720" cy="1083945"/>
            <wp:effectExtent l="0" t="0" r="0" b="190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1083945"/>
                    </a:xfrm>
                    <a:prstGeom prst="rect">
                      <a:avLst/>
                    </a:prstGeom>
                    <a:noFill/>
                    <a:ln>
                      <a:noFill/>
                    </a:ln>
                  </pic:spPr>
                </pic:pic>
              </a:graphicData>
            </a:graphic>
          </wp:inline>
        </w:drawing>
      </w:r>
      <w:r w:rsidRPr="00790E98">
        <w:rPr>
          <w:noProof/>
        </w:rPr>
        <w:drawing>
          <wp:inline distT="0" distB="0" distL="0" distR="0" wp14:anchorId="2482198D" wp14:editId="2E1AEF52">
            <wp:extent cx="5760720" cy="1083945"/>
            <wp:effectExtent l="0" t="0" r="0" b="190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1083945"/>
                    </a:xfrm>
                    <a:prstGeom prst="rect">
                      <a:avLst/>
                    </a:prstGeom>
                    <a:noFill/>
                    <a:ln>
                      <a:noFill/>
                    </a:ln>
                  </pic:spPr>
                </pic:pic>
              </a:graphicData>
            </a:graphic>
          </wp:inline>
        </w:drawing>
      </w:r>
      <w:r w:rsidRPr="00790E98">
        <w:rPr>
          <w:noProof/>
        </w:rPr>
        <w:drawing>
          <wp:inline distT="0" distB="0" distL="0" distR="0" wp14:anchorId="5A5BE000" wp14:editId="11AD3738">
            <wp:extent cx="5760720" cy="1083945"/>
            <wp:effectExtent l="0" t="0" r="0" b="190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1083945"/>
                    </a:xfrm>
                    <a:prstGeom prst="rect">
                      <a:avLst/>
                    </a:prstGeom>
                    <a:noFill/>
                    <a:ln>
                      <a:noFill/>
                    </a:ln>
                  </pic:spPr>
                </pic:pic>
              </a:graphicData>
            </a:graphic>
          </wp:inline>
        </w:drawing>
      </w:r>
    </w:p>
    <w:p w14:paraId="0D4408AF" w14:textId="77777777" w:rsidR="00E83953" w:rsidRDefault="00E83953" w:rsidP="00E83953">
      <w:pPr>
        <w:autoSpaceDE w:val="0"/>
        <w:autoSpaceDN w:val="0"/>
        <w:adjustRightInd w:val="0"/>
        <w:spacing w:after="0" w:line="240" w:lineRule="auto"/>
        <w:jc w:val="center"/>
        <w:rPr>
          <w:rFonts w:ascii="Calibri" w:hAnsi="Calibri" w:cs="Calibri"/>
          <w:kern w:val="0"/>
          <w:sz w:val="20"/>
          <w:szCs w:val="20"/>
        </w:rPr>
      </w:pPr>
      <w:r>
        <w:rPr>
          <w:b/>
          <w:bCs/>
        </w:rPr>
        <w:t xml:space="preserve">Slika 3b: </w:t>
      </w:r>
      <w:r>
        <w:rPr>
          <w:rFonts w:ascii="Calibri" w:hAnsi="Calibri" w:cs="Calibri"/>
          <w:kern w:val="0"/>
          <w:sz w:val="20"/>
          <w:szCs w:val="20"/>
        </w:rPr>
        <w:t>Umestitev predlagane tehnične oblike PzR v okvir ureditve v Gruberjevem prekopu po dokumentaciji IBE (2016) - s prilagoditvijo (2025).</w:t>
      </w:r>
    </w:p>
    <w:p w14:paraId="060DE936" w14:textId="77777777" w:rsidR="00E83953" w:rsidRPr="00790E98" w:rsidRDefault="00E83953" w:rsidP="00E83953">
      <w:pPr>
        <w:autoSpaceDE w:val="0"/>
        <w:autoSpaceDN w:val="0"/>
        <w:adjustRightInd w:val="0"/>
        <w:spacing w:after="0" w:line="240" w:lineRule="auto"/>
        <w:jc w:val="center"/>
        <w:rPr>
          <w:rFonts w:ascii="Calibri" w:hAnsi="Calibri" w:cs="Calibri"/>
          <w:kern w:val="0"/>
          <w:sz w:val="20"/>
          <w:szCs w:val="20"/>
        </w:rPr>
      </w:pPr>
    </w:p>
    <w:p w14:paraId="5EB8629B" w14:textId="77777777" w:rsidR="00E83953" w:rsidRDefault="00E83953" w:rsidP="00E83953">
      <w:pPr>
        <w:jc w:val="both"/>
        <w:rPr>
          <w:b/>
          <w:bCs/>
        </w:rPr>
      </w:pPr>
    </w:p>
    <w:p w14:paraId="62ABB1AB" w14:textId="3934786C" w:rsidR="00E83953" w:rsidRDefault="00E83953" w:rsidP="00E83953">
      <w:pPr>
        <w:jc w:val="both"/>
      </w:pPr>
      <w:r w:rsidRPr="000C325B">
        <w:rPr>
          <w:b/>
          <w:bCs/>
        </w:rPr>
        <w:t>Na lokaciji pri Toplarni</w:t>
      </w:r>
      <w:r w:rsidRPr="000C325B">
        <w:t xml:space="preserve"> </w:t>
      </w:r>
      <w:r>
        <w:t>je predvidena</w:t>
      </w:r>
      <w:r w:rsidRPr="000C325B">
        <w:t xml:space="preserve"> izgradnj</w:t>
      </w:r>
      <w:r>
        <w:t>a</w:t>
      </w:r>
      <w:r w:rsidRPr="000C325B">
        <w:t xml:space="preserve"> nizkega jezu za potrebe krožne plovbe in energetske izrabe, namestitev dveh gibljivih strojnic s skupnim inštaliranim pretokom 41 m</w:t>
      </w:r>
      <w:r w:rsidRPr="000C325B">
        <w:rPr>
          <w:vertAlign w:val="superscript"/>
        </w:rPr>
        <w:t>3</w:t>
      </w:r>
      <w:r w:rsidRPr="000C325B">
        <w:t xml:space="preserve">/s ter </w:t>
      </w:r>
      <w:r>
        <w:t xml:space="preserve">pasovna </w:t>
      </w:r>
      <w:r w:rsidRPr="000C325B">
        <w:t>poglobitev dolvodne struge v dolžini približno 1</w:t>
      </w:r>
      <w:r>
        <w:t>6</w:t>
      </w:r>
      <w:r w:rsidRPr="000C325B">
        <w:t xml:space="preserve">00 m (vzdolž </w:t>
      </w:r>
      <w:r>
        <w:t xml:space="preserve">celotne </w:t>
      </w:r>
      <w:r w:rsidRPr="000C325B">
        <w:t xml:space="preserve">soseske Nove Fužine). </w:t>
      </w:r>
      <w:r>
        <w:t xml:space="preserve">Enako kot </w:t>
      </w:r>
      <w:r w:rsidRPr="000C325B">
        <w:t>v Gruberjevem prekopu</w:t>
      </w:r>
      <w:r>
        <w:t xml:space="preserve"> sta tudi tukaj </w:t>
      </w:r>
      <w:r w:rsidRPr="000C325B">
        <w:t>predlagan</w:t>
      </w:r>
      <w:r>
        <w:t>a</w:t>
      </w:r>
      <w:r w:rsidRPr="000C325B">
        <w:t xml:space="preserve"> sodobn</w:t>
      </w:r>
      <w:r>
        <w:t>a</w:t>
      </w:r>
      <w:r w:rsidRPr="000C325B">
        <w:t xml:space="preserve"> pretočn</w:t>
      </w:r>
      <w:r>
        <w:t>a</w:t>
      </w:r>
      <w:r w:rsidRPr="000C325B">
        <w:t xml:space="preserve"> </w:t>
      </w:r>
      <w:r>
        <w:t>agregata</w:t>
      </w:r>
      <w:r w:rsidRPr="000C325B">
        <w:t xml:space="preserve"> z velikimi izkoristki in </w:t>
      </w:r>
      <w:r w:rsidRPr="000C325B">
        <w:lastRenderedPageBreak/>
        <w:t>majhnim vplivom na okolje, razvit</w:t>
      </w:r>
      <w:r>
        <w:t>a</w:t>
      </w:r>
      <w:r w:rsidRPr="000C325B">
        <w:t xml:space="preserve"> v okviru programa LIFE06, projekt ENV/D/000485.</w:t>
      </w:r>
      <w:r>
        <w:t xml:space="preserve"> Prehod za ribe je zagotovljen v tehnični obliki.</w:t>
      </w:r>
      <w:r w:rsidR="0057750E">
        <w:t xml:space="preserve"> </w:t>
      </w:r>
    </w:p>
    <w:p w14:paraId="68CBA0DF" w14:textId="6CEB9D06" w:rsidR="0057750E" w:rsidRDefault="0057750E" w:rsidP="00E83953">
      <w:pPr>
        <w:jc w:val="both"/>
      </w:pPr>
      <w:r w:rsidRPr="00CA547B">
        <w:rPr>
          <w:noProof/>
          <w:lang w:eastAsia="sl-SI"/>
        </w:rPr>
        <w:drawing>
          <wp:inline distT="0" distB="0" distL="0" distR="0" wp14:anchorId="5A6A5EF2" wp14:editId="20014CCA">
            <wp:extent cx="5760720" cy="3963670"/>
            <wp:effectExtent l="0" t="0" r="0" b="0"/>
            <wp:docPr id="843781019" name="Slika 1" descr="Slika, ki vsebuje besede diagram, zemljevid, načrt, shematič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81019" name="Slika 1" descr="Slika, ki vsebuje besede diagram, zemljevid, načrt, shematično&#10;&#10;Opis je samodejno ustvarjen"/>
                    <pic:cNvPicPr/>
                  </pic:nvPicPr>
                  <pic:blipFill>
                    <a:blip r:embed="rId16"/>
                    <a:stretch>
                      <a:fillRect/>
                    </a:stretch>
                  </pic:blipFill>
                  <pic:spPr>
                    <a:xfrm>
                      <a:off x="0" y="0"/>
                      <a:ext cx="5760720" cy="3963670"/>
                    </a:xfrm>
                    <a:prstGeom prst="rect">
                      <a:avLst/>
                    </a:prstGeom>
                  </pic:spPr>
                </pic:pic>
              </a:graphicData>
            </a:graphic>
          </wp:inline>
        </w:drawing>
      </w:r>
    </w:p>
    <w:p w14:paraId="109ECD2D" w14:textId="3731DF96" w:rsidR="0057750E" w:rsidRDefault="0057750E" w:rsidP="0057750E">
      <w:pPr>
        <w:jc w:val="center"/>
      </w:pPr>
      <w:r w:rsidRPr="00CA547B">
        <w:rPr>
          <w:b/>
          <w:bCs/>
        </w:rPr>
        <w:t>Slika 4</w:t>
      </w:r>
      <w:r>
        <w:rPr>
          <w:b/>
          <w:bCs/>
        </w:rPr>
        <w:t>a</w:t>
      </w:r>
      <w:r>
        <w:t>: Situacija novega jezu pri Toplarni.</w:t>
      </w:r>
    </w:p>
    <w:p w14:paraId="5FD03B85" w14:textId="77777777" w:rsidR="0057750E" w:rsidRDefault="0057750E" w:rsidP="00E83953">
      <w:pPr>
        <w:jc w:val="both"/>
      </w:pPr>
    </w:p>
    <w:p w14:paraId="6FCBD365" w14:textId="77777777" w:rsidR="00E83953" w:rsidRDefault="00E83953" w:rsidP="00E83953">
      <w:pPr>
        <w:jc w:val="both"/>
      </w:pPr>
      <w:r w:rsidRPr="003002C9">
        <w:rPr>
          <w:noProof/>
        </w:rPr>
        <w:drawing>
          <wp:inline distT="0" distB="0" distL="0" distR="0" wp14:anchorId="3D2C234E" wp14:editId="61533782">
            <wp:extent cx="5760720" cy="1529715"/>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1529715"/>
                    </a:xfrm>
                    <a:prstGeom prst="rect">
                      <a:avLst/>
                    </a:prstGeom>
                    <a:noFill/>
                    <a:ln>
                      <a:noFill/>
                    </a:ln>
                  </pic:spPr>
                </pic:pic>
              </a:graphicData>
            </a:graphic>
          </wp:inline>
        </w:drawing>
      </w:r>
      <w:r w:rsidRPr="003002C9">
        <w:t xml:space="preserve"> </w:t>
      </w:r>
      <w:r w:rsidRPr="003002C9">
        <w:rPr>
          <w:noProof/>
        </w:rPr>
        <w:drawing>
          <wp:inline distT="0" distB="0" distL="0" distR="0" wp14:anchorId="50855DB4" wp14:editId="27689650">
            <wp:extent cx="5760720" cy="1529715"/>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1529715"/>
                    </a:xfrm>
                    <a:prstGeom prst="rect">
                      <a:avLst/>
                    </a:prstGeom>
                    <a:noFill/>
                    <a:ln>
                      <a:noFill/>
                    </a:ln>
                  </pic:spPr>
                </pic:pic>
              </a:graphicData>
            </a:graphic>
          </wp:inline>
        </w:drawing>
      </w:r>
    </w:p>
    <w:p w14:paraId="7979C791" w14:textId="007F92EF" w:rsidR="00E83953" w:rsidRDefault="00E83953" w:rsidP="00E83953">
      <w:pPr>
        <w:jc w:val="center"/>
      </w:pPr>
      <w:r w:rsidRPr="00CA547B">
        <w:rPr>
          <w:b/>
          <w:bCs/>
        </w:rPr>
        <w:t>Slika 4</w:t>
      </w:r>
      <w:r w:rsidR="0057750E">
        <w:rPr>
          <w:b/>
          <w:bCs/>
        </w:rPr>
        <w:t>b</w:t>
      </w:r>
      <w:r>
        <w:t>: Situacija novega jezu pri Toplarni</w:t>
      </w:r>
      <w:r w:rsidR="0057750E">
        <w:t xml:space="preserve"> – umestitev prehoda za ribe</w:t>
      </w:r>
      <w:r>
        <w:t>.</w:t>
      </w:r>
    </w:p>
    <w:p w14:paraId="4FEA0BDF" w14:textId="77777777" w:rsidR="00E83953" w:rsidRDefault="00E83953" w:rsidP="00E83953">
      <w:pPr>
        <w:pStyle w:val="Naslov1"/>
      </w:pPr>
      <w:r>
        <w:lastRenderedPageBreak/>
        <w:t>Plovba</w:t>
      </w:r>
    </w:p>
    <w:p w14:paraId="60D65023" w14:textId="36EA0E28" w:rsidR="00E83953" w:rsidRDefault="00E83953" w:rsidP="00E83953">
      <w:pPr>
        <w:jc w:val="both"/>
      </w:pPr>
      <w:r>
        <w:t xml:space="preserve">Glavni poseg za zagotovitev krožne plovne poti okrog Grajskega hriba bo izvedba dodatnega jezu </w:t>
      </w:r>
      <w:r w:rsidR="00A528DC">
        <w:t>za</w:t>
      </w:r>
      <w:r>
        <w:t xml:space="preserve"> </w:t>
      </w:r>
      <w:r w:rsidR="00A528DC">
        <w:t xml:space="preserve">sotočjem mestne Ljubljanice in Grubarjevega prekopa, </w:t>
      </w:r>
      <w:r>
        <w:t>ki bo zagotavljal plovnost spodnje (vzhodne) zanke tudi ob minimalnih pretokih Ljubljanice. Za prehodnost jezovnih zgradb v mestni Ljubljanici in Gruberjevem prekopu bodo na teh lokacijah izvedene splavnice. Tako za plovno pot kot objekte splavnic je predpisano plovilo največje dolžine 10 m, širine 5 m in največjega ugreza trupa 0.6 m. Hitrost plovila ne sme presegati 8 km/h.</w:t>
      </w:r>
    </w:p>
    <w:p w14:paraId="18CD3EA9" w14:textId="59C58C90" w:rsidR="00E83953" w:rsidRDefault="00E83953" w:rsidP="00E83953">
      <w:pPr>
        <w:jc w:val="both"/>
      </w:pPr>
      <w:r>
        <w:t>V študiji (</w:t>
      </w:r>
      <w:r w:rsidR="008F0A45">
        <w:t>2</w:t>
      </w:r>
      <w:r>
        <w:t>) so bili s hidravličnim matematičnim modelom določeni glavni parametri toka na predvidenem območju plovbe (preglednica 1). Preverjena je bila tudi prehodnost pod mostovi, kjer sta ugotovljeni najbolj kritični točki pri mostu na Kajuhovi in pri brvi za pešce od Kajuhove proti Štepanjskemu naselju. Ta dva mostova določata najvišjo možno koto zajezitve pod sotočjem, ki znaša 283,10 m n.m. Po drugi strani kota gladine ne sme biti nižja, ker v nasprotnem primeru nastopijo težave z nezadostno globino pod zapornicama v Gruberjevem prekopu in na Ambroževem trgu. V Preglednici 1 so določeni glavni parametri toka na območju predvidene krožne plovbe: B = širina proste gladine; H = globina vode; V = hitrost toka. Podane so najmanjše, srednje in največje vrednosti na posameznih odsekih za pričakovani razpon pretokov, pri katerih je plovba še mogoča.</w:t>
      </w:r>
    </w:p>
    <w:p w14:paraId="14E99B1C" w14:textId="77777777" w:rsidR="00E83953" w:rsidRDefault="00E83953" w:rsidP="00E83953">
      <w:pPr>
        <w:jc w:val="both"/>
      </w:pPr>
    </w:p>
    <w:p w14:paraId="60F0401C" w14:textId="77777777" w:rsidR="00E83953" w:rsidRDefault="00E83953" w:rsidP="00E83953">
      <w:pPr>
        <w:jc w:val="center"/>
      </w:pPr>
      <w:r w:rsidRPr="007E71AC">
        <w:rPr>
          <w:b/>
          <w:bCs/>
        </w:rPr>
        <w:t>Preglednica 1</w:t>
      </w:r>
      <w:r>
        <w:t>: Glavni hidravlični parametri plovbe.</w:t>
      </w:r>
    </w:p>
    <w:tbl>
      <w:tblPr>
        <w:tblW w:w="0" w:type="auto"/>
        <w:jc w:val="center"/>
        <w:tblCellMar>
          <w:left w:w="70" w:type="dxa"/>
          <w:right w:w="70" w:type="dxa"/>
        </w:tblCellMar>
        <w:tblLook w:val="04A0" w:firstRow="1" w:lastRow="0" w:firstColumn="1" w:lastColumn="0" w:noHBand="0" w:noVBand="1"/>
      </w:tblPr>
      <w:tblGrid>
        <w:gridCol w:w="422"/>
        <w:gridCol w:w="2065"/>
        <w:gridCol w:w="641"/>
        <w:gridCol w:w="724"/>
        <w:gridCol w:w="722"/>
        <w:gridCol w:w="630"/>
        <w:gridCol w:w="668"/>
        <w:gridCol w:w="738"/>
        <w:gridCol w:w="645"/>
        <w:gridCol w:w="659"/>
        <w:gridCol w:w="729"/>
      </w:tblGrid>
      <w:tr w:rsidR="00E83953" w:rsidRPr="000C325B" w14:paraId="229F77A6" w14:textId="77777777" w:rsidTr="00C25F39">
        <w:trPr>
          <w:trHeight w:val="272"/>
          <w:jc w:val="center"/>
        </w:trPr>
        <w:tc>
          <w:tcPr>
            <w:tcW w:w="0" w:type="auto"/>
            <w:tcBorders>
              <w:top w:val="single" w:sz="4" w:space="0" w:color="auto"/>
              <w:left w:val="single" w:sz="4" w:space="0" w:color="auto"/>
              <w:bottom w:val="single" w:sz="4" w:space="0" w:color="auto"/>
              <w:right w:val="nil"/>
            </w:tcBorders>
            <w:shd w:val="clear" w:color="auto" w:fill="A6A6A6" w:themeFill="background1" w:themeFillShade="A6"/>
            <w:noWrap/>
            <w:vAlign w:val="bottom"/>
            <w:hideMark/>
          </w:tcPr>
          <w:p w14:paraId="7BD86230" w14:textId="77777777" w:rsidR="00E83953" w:rsidRPr="000C325B" w:rsidRDefault="00E83953" w:rsidP="00C25F39">
            <w:pPr>
              <w:pStyle w:val="SC-TableBold"/>
              <w:rPr>
                <w:rFonts w:asciiTheme="minorHAnsi" w:hAnsiTheme="minorHAnsi" w:cstheme="minorHAnsi"/>
                <w:sz w:val="22"/>
                <w:szCs w:val="22"/>
                <w:lang w:val="sl-SI"/>
              </w:rPr>
            </w:pPr>
            <w:r w:rsidRPr="000C325B">
              <w:rPr>
                <w:rFonts w:asciiTheme="minorHAnsi" w:hAnsiTheme="minorHAnsi" w:cstheme="minorHAnsi"/>
                <w:sz w:val="22"/>
                <w:szCs w:val="22"/>
                <w:lang w:val="sl-SI"/>
              </w:rPr>
              <w:t> </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noWrap/>
            <w:vAlign w:val="center"/>
            <w:hideMark/>
          </w:tcPr>
          <w:p w14:paraId="373BBA7B" w14:textId="77777777" w:rsidR="00E83953" w:rsidRPr="000C325B" w:rsidRDefault="00E83953" w:rsidP="00C25F39">
            <w:pPr>
              <w:pStyle w:val="SC-TableBold"/>
              <w:rPr>
                <w:rFonts w:asciiTheme="minorHAnsi" w:hAnsiTheme="minorHAnsi" w:cstheme="minorHAnsi"/>
                <w:sz w:val="22"/>
                <w:szCs w:val="22"/>
                <w:lang w:val="sl-SI"/>
              </w:rPr>
            </w:pPr>
            <w:r w:rsidRPr="000C325B">
              <w:rPr>
                <w:rFonts w:asciiTheme="minorHAnsi" w:hAnsiTheme="minorHAnsi" w:cstheme="minorHAnsi"/>
                <w:sz w:val="22"/>
                <w:szCs w:val="22"/>
                <w:lang w:val="sl-SI"/>
              </w:rPr>
              <w:t> </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096DE205"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Bmin</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57848B6B"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Bmax]</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12E56B27"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Bpovp</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064C847F"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Hmin</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4083C0FF"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Hmax</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198FCDB5"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Hpovp</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3CD34EC7"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Vmin</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118200B6"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Vmax</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4362067B"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Vpovp</w:t>
            </w:r>
          </w:p>
        </w:tc>
      </w:tr>
      <w:tr w:rsidR="00E83953" w:rsidRPr="000C325B" w14:paraId="5828C761" w14:textId="77777777" w:rsidTr="00C25F39">
        <w:trPr>
          <w:trHeight w:val="272"/>
          <w:jc w:val="center"/>
        </w:trPr>
        <w:tc>
          <w:tcPr>
            <w:tcW w:w="0" w:type="auto"/>
            <w:tcBorders>
              <w:top w:val="single" w:sz="4" w:space="0" w:color="auto"/>
              <w:left w:val="single" w:sz="4" w:space="0" w:color="auto"/>
              <w:bottom w:val="single" w:sz="4" w:space="0" w:color="auto"/>
              <w:right w:val="nil"/>
            </w:tcBorders>
            <w:shd w:val="clear" w:color="auto" w:fill="A6A6A6" w:themeFill="background1" w:themeFillShade="A6"/>
            <w:noWrap/>
            <w:vAlign w:val="bottom"/>
          </w:tcPr>
          <w:p w14:paraId="5ABDE269" w14:textId="77777777" w:rsidR="00E83953" w:rsidRPr="000C325B" w:rsidRDefault="00E83953" w:rsidP="00C25F39">
            <w:pPr>
              <w:pStyle w:val="SC-TableBold"/>
              <w:rPr>
                <w:rFonts w:asciiTheme="minorHAnsi" w:hAnsiTheme="minorHAnsi" w:cstheme="minorHAnsi"/>
                <w:sz w:val="22"/>
                <w:szCs w:val="22"/>
                <w:lang w:val="sl-SI"/>
              </w:rPr>
            </w:pPr>
          </w:p>
        </w:tc>
        <w:tc>
          <w:tcPr>
            <w:tcW w:w="0" w:type="auto"/>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41A3BE72" w14:textId="77777777" w:rsidR="00E83953" w:rsidRPr="000C325B" w:rsidRDefault="00E83953" w:rsidP="00C25F39">
            <w:pPr>
              <w:pStyle w:val="SC-TableBold"/>
              <w:rPr>
                <w:rFonts w:asciiTheme="minorHAnsi" w:hAnsiTheme="minorHAnsi" w:cstheme="minorHAnsi"/>
                <w:sz w:val="22"/>
                <w:szCs w:val="22"/>
                <w:lang w:val="sl-SI"/>
              </w:rPr>
            </w:pP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tcPr>
          <w:p w14:paraId="41CDEF42"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[m]</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tcPr>
          <w:p w14:paraId="14609AA2"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[m]</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tcPr>
          <w:p w14:paraId="591902A8"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[m]</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tcPr>
          <w:p w14:paraId="2F87BDA6"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[m]</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tcPr>
          <w:p w14:paraId="05836240"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[m]</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tcPr>
          <w:p w14:paraId="1C5CD5AB"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[m]</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tcPr>
          <w:p w14:paraId="307DBF3D"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[m/s]</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tcPr>
          <w:p w14:paraId="631E50E3"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[m/s]</w:t>
            </w:r>
          </w:p>
        </w:tc>
        <w:tc>
          <w:tcPr>
            <w:tcW w:w="0" w:type="auto"/>
            <w:tcBorders>
              <w:top w:val="single" w:sz="4" w:space="0" w:color="auto"/>
              <w:left w:val="nil"/>
              <w:bottom w:val="single" w:sz="4" w:space="0" w:color="auto"/>
              <w:right w:val="single" w:sz="4" w:space="0" w:color="auto"/>
            </w:tcBorders>
            <w:shd w:val="clear" w:color="auto" w:fill="A6A6A6" w:themeFill="background1" w:themeFillShade="A6"/>
            <w:vAlign w:val="center"/>
          </w:tcPr>
          <w:p w14:paraId="1D120A7B" w14:textId="77777777" w:rsidR="00E83953" w:rsidRPr="000C325B" w:rsidRDefault="00E83953" w:rsidP="00C25F39">
            <w:pPr>
              <w:pStyle w:val="SC-TableBold"/>
              <w:jc w:val="center"/>
              <w:rPr>
                <w:rFonts w:asciiTheme="minorHAnsi" w:hAnsiTheme="minorHAnsi" w:cstheme="minorHAnsi"/>
                <w:sz w:val="22"/>
                <w:szCs w:val="22"/>
                <w:lang w:val="sl-SI"/>
              </w:rPr>
            </w:pPr>
            <w:r w:rsidRPr="000C325B">
              <w:rPr>
                <w:rFonts w:asciiTheme="minorHAnsi" w:hAnsiTheme="minorHAnsi" w:cstheme="minorHAnsi"/>
                <w:sz w:val="22"/>
                <w:szCs w:val="22"/>
                <w:lang w:val="sl-SI"/>
              </w:rPr>
              <w:t>[m/s]</w:t>
            </w:r>
          </w:p>
        </w:tc>
      </w:tr>
      <w:tr w:rsidR="00E83953" w:rsidRPr="000C325B" w14:paraId="2C006392" w14:textId="77777777" w:rsidTr="00C25F39">
        <w:trPr>
          <w:trHeight w:val="272"/>
          <w:jc w:val="center"/>
        </w:trPr>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2F75C502"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Mestna Ljubljanica</w:t>
            </w: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54139F5D"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 xml:space="preserve">pod zapornico </w:t>
            </w:r>
          </w:p>
          <w:p w14:paraId="0FD59120"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3 m</w:t>
            </w:r>
            <w:r w:rsidRPr="000C325B">
              <w:rPr>
                <w:rFonts w:asciiTheme="minorHAnsi" w:hAnsiTheme="minorHAnsi" w:cstheme="minorHAnsi"/>
                <w:sz w:val="22"/>
                <w:szCs w:val="22"/>
                <w:vertAlign w:val="superscript"/>
                <w:lang w:val="sl-SI"/>
              </w:rPr>
              <w:t>3</w:t>
            </w:r>
            <w:r w:rsidRPr="000C325B">
              <w:rPr>
                <w:rFonts w:asciiTheme="minorHAnsi" w:hAnsiTheme="minorHAnsi" w:cstheme="minorHAnsi"/>
                <w:sz w:val="22"/>
                <w:szCs w:val="22"/>
                <w:lang w:val="sl-SI"/>
              </w:rPr>
              <w:t>/s</w:t>
            </w:r>
          </w:p>
        </w:tc>
        <w:tc>
          <w:tcPr>
            <w:tcW w:w="0" w:type="auto"/>
            <w:tcBorders>
              <w:top w:val="nil"/>
              <w:left w:val="nil"/>
              <w:bottom w:val="single" w:sz="4" w:space="0" w:color="auto"/>
              <w:right w:val="single" w:sz="4" w:space="0" w:color="auto"/>
            </w:tcBorders>
            <w:shd w:val="clear" w:color="auto" w:fill="auto"/>
            <w:noWrap/>
            <w:vAlign w:val="bottom"/>
            <w:hideMark/>
          </w:tcPr>
          <w:p w14:paraId="0F2D200A"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20,80</w:t>
            </w:r>
          </w:p>
        </w:tc>
        <w:tc>
          <w:tcPr>
            <w:tcW w:w="0" w:type="auto"/>
            <w:tcBorders>
              <w:top w:val="nil"/>
              <w:left w:val="nil"/>
              <w:bottom w:val="single" w:sz="4" w:space="0" w:color="auto"/>
              <w:right w:val="single" w:sz="4" w:space="0" w:color="auto"/>
            </w:tcBorders>
            <w:shd w:val="clear" w:color="auto" w:fill="auto"/>
            <w:noWrap/>
            <w:vAlign w:val="bottom"/>
            <w:hideMark/>
          </w:tcPr>
          <w:p w14:paraId="5132E7F0"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41,74</w:t>
            </w:r>
          </w:p>
        </w:tc>
        <w:tc>
          <w:tcPr>
            <w:tcW w:w="0" w:type="auto"/>
            <w:tcBorders>
              <w:top w:val="nil"/>
              <w:left w:val="nil"/>
              <w:bottom w:val="single" w:sz="4" w:space="0" w:color="auto"/>
              <w:right w:val="single" w:sz="4" w:space="0" w:color="auto"/>
            </w:tcBorders>
            <w:shd w:val="clear" w:color="auto" w:fill="auto"/>
            <w:noWrap/>
            <w:vAlign w:val="bottom"/>
            <w:hideMark/>
          </w:tcPr>
          <w:p w14:paraId="28F8C6E5"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28,13</w:t>
            </w:r>
          </w:p>
        </w:tc>
        <w:tc>
          <w:tcPr>
            <w:tcW w:w="0" w:type="auto"/>
            <w:tcBorders>
              <w:top w:val="nil"/>
              <w:left w:val="nil"/>
              <w:bottom w:val="single" w:sz="4" w:space="0" w:color="auto"/>
              <w:right w:val="single" w:sz="4" w:space="0" w:color="auto"/>
            </w:tcBorders>
            <w:shd w:val="clear" w:color="auto" w:fill="auto"/>
            <w:noWrap/>
            <w:vAlign w:val="bottom"/>
            <w:hideMark/>
          </w:tcPr>
          <w:p w14:paraId="6AF2F776"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1,60</w:t>
            </w:r>
          </w:p>
        </w:tc>
        <w:tc>
          <w:tcPr>
            <w:tcW w:w="0" w:type="auto"/>
            <w:tcBorders>
              <w:top w:val="nil"/>
              <w:left w:val="nil"/>
              <w:bottom w:val="single" w:sz="4" w:space="0" w:color="auto"/>
              <w:right w:val="single" w:sz="4" w:space="0" w:color="auto"/>
            </w:tcBorders>
            <w:shd w:val="clear" w:color="auto" w:fill="auto"/>
            <w:noWrap/>
            <w:vAlign w:val="bottom"/>
            <w:hideMark/>
          </w:tcPr>
          <w:p w14:paraId="060C5385"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3,41</w:t>
            </w:r>
          </w:p>
        </w:tc>
        <w:tc>
          <w:tcPr>
            <w:tcW w:w="0" w:type="auto"/>
            <w:tcBorders>
              <w:top w:val="nil"/>
              <w:left w:val="nil"/>
              <w:bottom w:val="single" w:sz="4" w:space="0" w:color="auto"/>
              <w:right w:val="single" w:sz="4" w:space="0" w:color="auto"/>
            </w:tcBorders>
            <w:shd w:val="clear" w:color="auto" w:fill="auto"/>
            <w:noWrap/>
            <w:vAlign w:val="bottom"/>
            <w:hideMark/>
          </w:tcPr>
          <w:p w14:paraId="21ECCD4A"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2,48</w:t>
            </w:r>
          </w:p>
        </w:tc>
        <w:tc>
          <w:tcPr>
            <w:tcW w:w="0" w:type="auto"/>
            <w:tcBorders>
              <w:top w:val="nil"/>
              <w:left w:val="nil"/>
              <w:bottom w:val="single" w:sz="4" w:space="0" w:color="auto"/>
              <w:right w:val="single" w:sz="4" w:space="0" w:color="auto"/>
            </w:tcBorders>
            <w:shd w:val="clear" w:color="auto" w:fill="auto"/>
            <w:noWrap/>
            <w:vAlign w:val="bottom"/>
            <w:hideMark/>
          </w:tcPr>
          <w:p w14:paraId="148C5DA9"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0,03</w:t>
            </w:r>
          </w:p>
        </w:tc>
        <w:tc>
          <w:tcPr>
            <w:tcW w:w="0" w:type="auto"/>
            <w:tcBorders>
              <w:top w:val="nil"/>
              <w:left w:val="nil"/>
              <w:bottom w:val="single" w:sz="4" w:space="0" w:color="auto"/>
              <w:right w:val="single" w:sz="4" w:space="0" w:color="auto"/>
            </w:tcBorders>
            <w:shd w:val="clear" w:color="auto" w:fill="auto"/>
            <w:noWrap/>
            <w:vAlign w:val="bottom"/>
            <w:hideMark/>
          </w:tcPr>
          <w:p w14:paraId="67F1E4B3"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0,11</w:t>
            </w:r>
          </w:p>
        </w:tc>
        <w:tc>
          <w:tcPr>
            <w:tcW w:w="0" w:type="auto"/>
            <w:tcBorders>
              <w:top w:val="nil"/>
              <w:left w:val="nil"/>
              <w:bottom w:val="single" w:sz="4" w:space="0" w:color="auto"/>
              <w:right w:val="single" w:sz="4" w:space="0" w:color="auto"/>
            </w:tcBorders>
            <w:shd w:val="clear" w:color="auto" w:fill="auto"/>
            <w:noWrap/>
            <w:vAlign w:val="bottom"/>
            <w:hideMark/>
          </w:tcPr>
          <w:p w14:paraId="45DF8BBB"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0,06</w:t>
            </w:r>
          </w:p>
        </w:tc>
      </w:tr>
      <w:tr w:rsidR="00E83953" w:rsidRPr="000C325B" w14:paraId="1B8EFE0A" w14:textId="77777777" w:rsidTr="00C25F39">
        <w:trPr>
          <w:trHeight w:val="272"/>
          <w:jc w:val="center"/>
        </w:trPr>
        <w:tc>
          <w:tcPr>
            <w:tcW w:w="0" w:type="auto"/>
            <w:vMerge/>
            <w:tcBorders>
              <w:top w:val="nil"/>
              <w:left w:val="single" w:sz="4" w:space="0" w:color="auto"/>
              <w:bottom w:val="single" w:sz="4" w:space="0" w:color="000000"/>
              <w:right w:val="single" w:sz="4" w:space="0" w:color="auto"/>
            </w:tcBorders>
            <w:vAlign w:val="center"/>
            <w:hideMark/>
          </w:tcPr>
          <w:p w14:paraId="25F89B54" w14:textId="77777777" w:rsidR="00E83953" w:rsidRPr="000C325B" w:rsidRDefault="00E83953" w:rsidP="00C25F39">
            <w:pPr>
              <w:pStyle w:val="SC-Table"/>
              <w:rPr>
                <w:rFonts w:asciiTheme="minorHAnsi" w:hAnsiTheme="minorHAnsi" w:cstheme="minorHAnsi"/>
                <w:sz w:val="22"/>
                <w:szCs w:val="22"/>
                <w:lang w:val="sl-SI"/>
              </w:rPr>
            </w:pP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4D6B9D56"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 xml:space="preserve">pod zapornico </w:t>
            </w:r>
          </w:p>
          <w:p w14:paraId="347FD272"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55 m</w:t>
            </w:r>
            <w:r w:rsidRPr="000C325B">
              <w:rPr>
                <w:rFonts w:asciiTheme="minorHAnsi" w:hAnsiTheme="minorHAnsi" w:cstheme="minorHAnsi"/>
                <w:sz w:val="22"/>
                <w:szCs w:val="22"/>
                <w:vertAlign w:val="superscript"/>
                <w:lang w:val="sl-SI"/>
              </w:rPr>
              <w:t>3</w:t>
            </w:r>
            <w:r w:rsidRPr="000C325B">
              <w:rPr>
                <w:rFonts w:asciiTheme="minorHAnsi" w:hAnsiTheme="minorHAnsi" w:cstheme="minorHAnsi"/>
                <w:sz w:val="22"/>
                <w:szCs w:val="22"/>
                <w:lang w:val="sl-SI"/>
              </w:rPr>
              <w:t>/s</w:t>
            </w:r>
          </w:p>
        </w:tc>
        <w:tc>
          <w:tcPr>
            <w:tcW w:w="0" w:type="auto"/>
            <w:tcBorders>
              <w:top w:val="nil"/>
              <w:left w:val="nil"/>
              <w:bottom w:val="single" w:sz="4" w:space="0" w:color="auto"/>
              <w:right w:val="single" w:sz="4" w:space="0" w:color="auto"/>
            </w:tcBorders>
            <w:shd w:val="clear" w:color="auto" w:fill="auto"/>
            <w:noWrap/>
            <w:vAlign w:val="bottom"/>
            <w:hideMark/>
          </w:tcPr>
          <w:p w14:paraId="26B92FF7"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25,55</w:t>
            </w:r>
          </w:p>
        </w:tc>
        <w:tc>
          <w:tcPr>
            <w:tcW w:w="0" w:type="auto"/>
            <w:tcBorders>
              <w:top w:val="nil"/>
              <w:left w:val="nil"/>
              <w:bottom w:val="single" w:sz="4" w:space="0" w:color="auto"/>
              <w:right w:val="single" w:sz="4" w:space="0" w:color="auto"/>
            </w:tcBorders>
            <w:shd w:val="clear" w:color="auto" w:fill="auto"/>
            <w:noWrap/>
            <w:vAlign w:val="bottom"/>
            <w:hideMark/>
          </w:tcPr>
          <w:p w14:paraId="2971D453"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41,72</w:t>
            </w:r>
          </w:p>
        </w:tc>
        <w:tc>
          <w:tcPr>
            <w:tcW w:w="0" w:type="auto"/>
            <w:tcBorders>
              <w:top w:val="nil"/>
              <w:left w:val="nil"/>
              <w:bottom w:val="single" w:sz="4" w:space="0" w:color="auto"/>
              <w:right w:val="single" w:sz="4" w:space="0" w:color="auto"/>
            </w:tcBorders>
            <w:shd w:val="clear" w:color="auto" w:fill="auto"/>
            <w:noWrap/>
            <w:vAlign w:val="bottom"/>
            <w:hideMark/>
          </w:tcPr>
          <w:p w14:paraId="0EEB3378"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29,39</w:t>
            </w:r>
          </w:p>
        </w:tc>
        <w:tc>
          <w:tcPr>
            <w:tcW w:w="0" w:type="auto"/>
            <w:tcBorders>
              <w:top w:val="nil"/>
              <w:left w:val="nil"/>
              <w:bottom w:val="single" w:sz="4" w:space="0" w:color="auto"/>
              <w:right w:val="single" w:sz="4" w:space="0" w:color="auto"/>
            </w:tcBorders>
            <w:shd w:val="clear" w:color="auto" w:fill="auto"/>
            <w:noWrap/>
            <w:vAlign w:val="bottom"/>
            <w:hideMark/>
          </w:tcPr>
          <w:p w14:paraId="702248B9"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2,40</w:t>
            </w:r>
          </w:p>
        </w:tc>
        <w:tc>
          <w:tcPr>
            <w:tcW w:w="0" w:type="auto"/>
            <w:tcBorders>
              <w:top w:val="nil"/>
              <w:left w:val="nil"/>
              <w:bottom w:val="single" w:sz="4" w:space="0" w:color="auto"/>
              <w:right w:val="single" w:sz="4" w:space="0" w:color="auto"/>
            </w:tcBorders>
            <w:shd w:val="clear" w:color="auto" w:fill="auto"/>
            <w:noWrap/>
            <w:vAlign w:val="bottom"/>
            <w:hideMark/>
          </w:tcPr>
          <w:p w14:paraId="6E4CE202"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3,52</w:t>
            </w:r>
          </w:p>
        </w:tc>
        <w:tc>
          <w:tcPr>
            <w:tcW w:w="0" w:type="auto"/>
            <w:tcBorders>
              <w:top w:val="nil"/>
              <w:left w:val="nil"/>
              <w:bottom w:val="single" w:sz="4" w:space="0" w:color="auto"/>
              <w:right w:val="single" w:sz="4" w:space="0" w:color="auto"/>
            </w:tcBorders>
            <w:shd w:val="clear" w:color="auto" w:fill="auto"/>
            <w:noWrap/>
            <w:vAlign w:val="bottom"/>
            <w:hideMark/>
          </w:tcPr>
          <w:p w14:paraId="168749DC"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2,87</w:t>
            </w:r>
          </w:p>
        </w:tc>
        <w:tc>
          <w:tcPr>
            <w:tcW w:w="0" w:type="auto"/>
            <w:tcBorders>
              <w:top w:val="nil"/>
              <w:left w:val="nil"/>
              <w:bottom w:val="single" w:sz="4" w:space="0" w:color="auto"/>
              <w:right w:val="single" w:sz="4" w:space="0" w:color="auto"/>
            </w:tcBorders>
            <w:shd w:val="clear" w:color="auto" w:fill="auto"/>
            <w:noWrap/>
            <w:vAlign w:val="bottom"/>
            <w:hideMark/>
          </w:tcPr>
          <w:p w14:paraId="5F293C62"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0,56</w:t>
            </w:r>
          </w:p>
        </w:tc>
        <w:tc>
          <w:tcPr>
            <w:tcW w:w="0" w:type="auto"/>
            <w:tcBorders>
              <w:top w:val="nil"/>
              <w:left w:val="nil"/>
              <w:bottom w:val="single" w:sz="4" w:space="0" w:color="auto"/>
              <w:right w:val="single" w:sz="4" w:space="0" w:color="auto"/>
            </w:tcBorders>
            <w:shd w:val="clear" w:color="auto" w:fill="auto"/>
            <w:noWrap/>
            <w:vAlign w:val="bottom"/>
            <w:hideMark/>
          </w:tcPr>
          <w:p w14:paraId="4BFE7609"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1,14</w:t>
            </w:r>
          </w:p>
        </w:tc>
        <w:tc>
          <w:tcPr>
            <w:tcW w:w="0" w:type="auto"/>
            <w:tcBorders>
              <w:top w:val="nil"/>
              <w:left w:val="nil"/>
              <w:bottom w:val="single" w:sz="4" w:space="0" w:color="auto"/>
              <w:right w:val="single" w:sz="4" w:space="0" w:color="auto"/>
            </w:tcBorders>
            <w:shd w:val="clear" w:color="auto" w:fill="auto"/>
            <w:noWrap/>
            <w:vAlign w:val="bottom"/>
            <w:hideMark/>
          </w:tcPr>
          <w:p w14:paraId="7C030976"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0,86</w:t>
            </w:r>
          </w:p>
        </w:tc>
      </w:tr>
      <w:tr w:rsidR="00E83953" w:rsidRPr="000C325B" w14:paraId="0F7DE985" w14:textId="77777777" w:rsidTr="00C25F39">
        <w:trPr>
          <w:trHeight w:val="272"/>
          <w:jc w:val="center"/>
        </w:trPr>
        <w:tc>
          <w:tcPr>
            <w:tcW w:w="0" w:type="auto"/>
            <w:vMerge/>
            <w:tcBorders>
              <w:top w:val="nil"/>
              <w:left w:val="single" w:sz="4" w:space="0" w:color="auto"/>
              <w:bottom w:val="single" w:sz="4" w:space="0" w:color="000000"/>
              <w:right w:val="single" w:sz="4" w:space="0" w:color="auto"/>
            </w:tcBorders>
            <w:vAlign w:val="center"/>
            <w:hideMark/>
          </w:tcPr>
          <w:p w14:paraId="57B47702" w14:textId="77777777" w:rsidR="00E83953" w:rsidRPr="000C325B" w:rsidRDefault="00E83953" w:rsidP="00C25F39">
            <w:pPr>
              <w:pStyle w:val="SC-Table"/>
              <w:rPr>
                <w:rFonts w:asciiTheme="minorHAnsi" w:hAnsiTheme="minorHAnsi" w:cstheme="minorHAnsi"/>
                <w:sz w:val="22"/>
                <w:szCs w:val="22"/>
                <w:lang w:val="sl-SI"/>
              </w:rPr>
            </w:pP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41467C77"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 xml:space="preserve">nad zapornico </w:t>
            </w:r>
          </w:p>
          <w:p w14:paraId="4821BAEB"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3 m</w:t>
            </w:r>
            <w:r w:rsidRPr="000C325B">
              <w:rPr>
                <w:rFonts w:asciiTheme="minorHAnsi" w:hAnsiTheme="minorHAnsi" w:cstheme="minorHAnsi"/>
                <w:sz w:val="22"/>
                <w:szCs w:val="22"/>
                <w:vertAlign w:val="superscript"/>
                <w:lang w:val="sl-SI"/>
              </w:rPr>
              <w:t>3</w:t>
            </w:r>
            <w:r w:rsidRPr="000C325B">
              <w:rPr>
                <w:rFonts w:asciiTheme="minorHAnsi" w:hAnsiTheme="minorHAnsi" w:cstheme="minorHAnsi"/>
                <w:sz w:val="22"/>
                <w:szCs w:val="22"/>
                <w:lang w:val="sl-SI"/>
              </w:rPr>
              <w:t>/s</w:t>
            </w:r>
          </w:p>
        </w:tc>
        <w:tc>
          <w:tcPr>
            <w:tcW w:w="0" w:type="auto"/>
            <w:tcBorders>
              <w:top w:val="nil"/>
              <w:left w:val="nil"/>
              <w:bottom w:val="single" w:sz="4" w:space="0" w:color="auto"/>
              <w:right w:val="single" w:sz="4" w:space="0" w:color="auto"/>
            </w:tcBorders>
            <w:shd w:val="clear" w:color="auto" w:fill="auto"/>
            <w:noWrap/>
            <w:vAlign w:val="bottom"/>
            <w:hideMark/>
          </w:tcPr>
          <w:p w14:paraId="510CB378"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22,05</w:t>
            </w:r>
          </w:p>
        </w:tc>
        <w:tc>
          <w:tcPr>
            <w:tcW w:w="0" w:type="auto"/>
            <w:tcBorders>
              <w:top w:val="nil"/>
              <w:left w:val="nil"/>
              <w:bottom w:val="single" w:sz="4" w:space="0" w:color="auto"/>
              <w:right w:val="single" w:sz="4" w:space="0" w:color="auto"/>
            </w:tcBorders>
            <w:shd w:val="clear" w:color="auto" w:fill="auto"/>
            <w:noWrap/>
            <w:vAlign w:val="bottom"/>
            <w:hideMark/>
          </w:tcPr>
          <w:p w14:paraId="6F4DE439"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48,39</w:t>
            </w:r>
          </w:p>
        </w:tc>
        <w:tc>
          <w:tcPr>
            <w:tcW w:w="0" w:type="auto"/>
            <w:tcBorders>
              <w:top w:val="nil"/>
              <w:left w:val="nil"/>
              <w:bottom w:val="single" w:sz="4" w:space="0" w:color="auto"/>
              <w:right w:val="single" w:sz="4" w:space="0" w:color="auto"/>
            </w:tcBorders>
            <w:shd w:val="clear" w:color="auto" w:fill="auto"/>
            <w:noWrap/>
            <w:vAlign w:val="bottom"/>
            <w:hideMark/>
          </w:tcPr>
          <w:p w14:paraId="1A39528C"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28,56</w:t>
            </w:r>
          </w:p>
        </w:tc>
        <w:tc>
          <w:tcPr>
            <w:tcW w:w="0" w:type="auto"/>
            <w:tcBorders>
              <w:top w:val="nil"/>
              <w:left w:val="nil"/>
              <w:bottom w:val="single" w:sz="4" w:space="0" w:color="auto"/>
              <w:right w:val="single" w:sz="4" w:space="0" w:color="auto"/>
            </w:tcBorders>
            <w:shd w:val="clear" w:color="auto" w:fill="auto"/>
            <w:noWrap/>
            <w:vAlign w:val="bottom"/>
            <w:hideMark/>
          </w:tcPr>
          <w:p w14:paraId="242097CF"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2,57</w:t>
            </w:r>
          </w:p>
        </w:tc>
        <w:tc>
          <w:tcPr>
            <w:tcW w:w="0" w:type="auto"/>
            <w:tcBorders>
              <w:top w:val="nil"/>
              <w:left w:val="nil"/>
              <w:bottom w:val="single" w:sz="4" w:space="0" w:color="auto"/>
              <w:right w:val="single" w:sz="4" w:space="0" w:color="auto"/>
            </w:tcBorders>
            <w:shd w:val="clear" w:color="auto" w:fill="auto"/>
            <w:noWrap/>
            <w:vAlign w:val="bottom"/>
            <w:hideMark/>
          </w:tcPr>
          <w:p w14:paraId="116C969A"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5,10</w:t>
            </w:r>
          </w:p>
        </w:tc>
        <w:tc>
          <w:tcPr>
            <w:tcW w:w="0" w:type="auto"/>
            <w:tcBorders>
              <w:top w:val="nil"/>
              <w:left w:val="nil"/>
              <w:bottom w:val="single" w:sz="4" w:space="0" w:color="auto"/>
              <w:right w:val="single" w:sz="4" w:space="0" w:color="auto"/>
            </w:tcBorders>
            <w:shd w:val="clear" w:color="auto" w:fill="auto"/>
            <w:noWrap/>
            <w:vAlign w:val="bottom"/>
            <w:hideMark/>
          </w:tcPr>
          <w:p w14:paraId="0DDA407B"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3,62</w:t>
            </w:r>
          </w:p>
        </w:tc>
        <w:tc>
          <w:tcPr>
            <w:tcW w:w="0" w:type="auto"/>
            <w:tcBorders>
              <w:top w:val="nil"/>
              <w:left w:val="nil"/>
              <w:bottom w:val="single" w:sz="4" w:space="0" w:color="auto"/>
              <w:right w:val="single" w:sz="4" w:space="0" w:color="auto"/>
            </w:tcBorders>
            <w:shd w:val="clear" w:color="auto" w:fill="auto"/>
            <w:noWrap/>
            <w:vAlign w:val="bottom"/>
            <w:hideMark/>
          </w:tcPr>
          <w:p w14:paraId="08E85A72"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0,02</w:t>
            </w:r>
          </w:p>
        </w:tc>
        <w:tc>
          <w:tcPr>
            <w:tcW w:w="0" w:type="auto"/>
            <w:tcBorders>
              <w:top w:val="nil"/>
              <w:left w:val="nil"/>
              <w:bottom w:val="single" w:sz="4" w:space="0" w:color="auto"/>
              <w:right w:val="single" w:sz="4" w:space="0" w:color="auto"/>
            </w:tcBorders>
            <w:shd w:val="clear" w:color="auto" w:fill="auto"/>
            <w:noWrap/>
            <w:vAlign w:val="bottom"/>
            <w:hideMark/>
          </w:tcPr>
          <w:p w14:paraId="54E27DE3"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0,05</w:t>
            </w:r>
          </w:p>
        </w:tc>
        <w:tc>
          <w:tcPr>
            <w:tcW w:w="0" w:type="auto"/>
            <w:tcBorders>
              <w:top w:val="nil"/>
              <w:left w:val="nil"/>
              <w:bottom w:val="single" w:sz="4" w:space="0" w:color="auto"/>
              <w:right w:val="single" w:sz="4" w:space="0" w:color="auto"/>
            </w:tcBorders>
            <w:shd w:val="clear" w:color="auto" w:fill="auto"/>
            <w:noWrap/>
            <w:vAlign w:val="bottom"/>
            <w:hideMark/>
          </w:tcPr>
          <w:p w14:paraId="10044955"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0,04</w:t>
            </w:r>
          </w:p>
        </w:tc>
      </w:tr>
      <w:tr w:rsidR="00E83953" w:rsidRPr="000C325B" w14:paraId="6D208399" w14:textId="77777777" w:rsidTr="00C25F39">
        <w:trPr>
          <w:trHeight w:val="272"/>
          <w:jc w:val="center"/>
        </w:trPr>
        <w:tc>
          <w:tcPr>
            <w:tcW w:w="0" w:type="auto"/>
            <w:vMerge/>
            <w:tcBorders>
              <w:top w:val="nil"/>
              <w:left w:val="single" w:sz="4" w:space="0" w:color="auto"/>
              <w:bottom w:val="single" w:sz="4" w:space="0" w:color="000000"/>
              <w:right w:val="single" w:sz="4" w:space="0" w:color="auto"/>
            </w:tcBorders>
            <w:vAlign w:val="center"/>
            <w:hideMark/>
          </w:tcPr>
          <w:p w14:paraId="6C744A29" w14:textId="77777777" w:rsidR="00E83953" w:rsidRPr="000C325B" w:rsidRDefault="00E83953" w:rsidP="00C25F39">
            <w:pPr>
              <w:pStyle w:val="SC-Table"/>
              <w:rPr>
                <w:rFonts w:asciiTheme="minorHAnsi" w:hAnsiTheme="minorHAnsi" w:cstheme="minorHAnsi"/>
                <w:sz w:val="22"/>
                <w:szCs w:val="22"/>
                <w:lang w:val="sl-SI"/>
              </w:rPr>
            </w:pP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444E0599"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 xml:space="preserve">nad zapornico </w:t>
            </w:r>
          </w:p>
          <w:p w14:paraId="00399E6B"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55 m</w:t>
            </w:r>
            <w:r w:rsidRPr="000C325B">
              <w:rPr>
                <w:rFonts w:asciiTheme="minorHAnsi" w:hAnsiTheme="minorHAnsi" w:cstheme="minorHAnsi"/>
                <w:sz w:val="22"/>
                <w:szCs w:val="22"/>
                <w:vertAlign w:val="superscript"/>
                <w:lang w:val="sl-SI"/>
              </w:rPr>
              <w:t>3</w:t>
            </w:r>
            <w:r w:rsidRPr="000C325B">
              <w:rPr>
                <w:rFonts w:asciiTheme="minorHAnsi" w:hAnsiTheme="minorHAnsi" w:cstheme="minorHAnsi"/>
                <w:sz w:val="22"/>
                <w:szCs w:val="22"/>
                <w:lang w:val="sl-SI"/>
              </w:rPr>
              <w:t>/s</w:t>
            </w:r>
          </w:p>
        </w:tc>
        <w:tc>
          <w:tcPr>
            <w:tcW w:w="0" w:type="auto"/>
            <w:tcBorders>
              <w:top w:val="nil"/>
              <w:left w:val="nil"/>
              <w:bottom w:val="single" w:sz="4" w:space="0" w:color="auto"/>
              <w:right w:val="single" w:sz="4" w:space="0" w:color="auto"/>
            </w:tcBorders>
            <w:shd w:val="clear" w:color="auto" w:fill="auto"/>
            <w:noWrap/>
            <w:vAlign w:val="bottom"/>
            <w:hideMark/>
          </w:tcPr>
          <w:p w14:paraId="3D7F2E90"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22,11</w:t>
            </w:r>
          </w:p>
        </w:tc>
        <w:tc>
          <w:tcPr>
            <w:tcW w:w="0" w:type="auto"/>
            <w:tcBorders>
              <w:top w:val="nil"/>
              <w:left w:val="nil"/>
              <w:bottom w:val="single" w:sz="4" w:space="0" w:color="auto"/>
              <w:right w:val="single" w:sz="4" w:space="0" w:color="auto"/>
            </w:tcBorders>
            <w:shd w:val="clear" w:color="auto" w:fill="auto"/>
            <w:noWrap/>
            <w:vAlign w:val="bottom"/>
            <w:hideMark/>
          </w:tcPr>
          <w:p w14:paraId="532A0CED"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49,26</w:t>
            </w:r>
          </w:p>
        </w:tc>
        <w:tc>
          <w:tcPr>
            <w:tcW w:w="0" w:type="auto"/>
            <w:tcBorders>
              <w:top w:val="nil"/>
              <w:left w:val="nil"/>
              <w:bottom w:val="single" w:sz="4" w:space="0" w:color="auto"/>
              <w:right w:val="single" w:sz="4" w:space="0" w:color="auto"/>
            </w:tcBorders>
            <w:shd w:val="clear" w:color="auto" w:fill="auto"/>
            <w:noWrap/>
            <w:vAlign w:val="bottom"/>
            <w:hideMark/>
          </w:tcPr>
          <w:p w14:paraId="0F3EB452"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28,77</w:t>
            </w:r>
          </w:p>
        </w:tc>
        <w:tc>
          <w:tcPr>
            <w:tcW w:w="0" w:type="auto"/>
            <w:tcBorders>
              <w:top w:val="nil"/>
              <w:left w:val="nil"/>
              <w:bottom w:val="single" w:sz="4" w:space="0" w:color="auto"/>
              <w:right w:val="single" w:sz="4" w:space="0" w:color="auto"/>
            </w:tcBorders>
            <w:shd w:val="clear" w:color="auto" w:fill="auto"/>
            <w:noWrap/>
            <w:vAlign w:val="bottom"/>
            <w:hideMark/>
          </w:tcPr>
          <w:p w14:paraId="7398678E"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2,86</w:t>
            </w:r>
          </w:p>
        </w:tc>
        <w:tc>
          <w:tcPr>
            <w:tcW w:w="0" w:type="auto"/>
            <w:tcBorders>
              <w:top w:val="nil"/>
              <w:left w:val="nil"/>
              <w:bottom w:val="single" w:sz="4" w:space="0" w:color="auto"/>
              <w:right w:val="single" w:sz="4" w:space="0" w:color="auto"/>
            </w:tcBorders>
            <w:shd w:val="clear" w:color="auto" w:fill="auto"/>
            <w:noWrap/>
            <w:vAlign w:val="bottom"/>
            <w:hideMark/>
          </w:tcPr>
          <w:p w14:paraId="38C9B483"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5,10</w:t>
            </w:r>
          </w:p>
        </w:tc>
        <w:tc>
          <w:tcPr>
            <w:tcW w:w="0" w:type="auto"/>
            <w:tcBorders>
              <w:top w:val="nil"/>
              <w:left w:val="nil"/>
              <w:bottom w:val="single" w:sz="4" w:space="0" w:color="auto"/>
              <w:right w:val="single" w:sz="4" w:space="0" w:color="auto"/>
            </w:tcBorders>
            <w:shd w:val="clear" w:color="auto" w:fill="auto"/>
            <w:noWrap/>
            <w:vAlign w:val="bottom"/>
            <w:hideMark/>
          </w:tcPr>
          <w:p w14:paraId="2D1EDE3B"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3,74</w:t>
            </w:r>
          </w:p>
        </w:tc>
        <w:tc>
          <w:tcPr>
            <w:tcW w:w="0" w:type="auto"/>
            <w:tcBorders>
              <w:top w:val="nil"/>
              <w:left w:val="nil"/>
              <w:bottom w:val="single" w:sz="4" w:space="0" w:color="auto"/>
              <w:right w:val="single" w:sz="4" w:space="0" w:color="auto"/>
            </w:tcBorders>
            <w:shd w:val="clear" w:color="auto" w:fill="auto"/>
            <w:noWrap/>
            <w:vAlign w:val="bottom"/>
            <w:hideMark/>
          </w:tcPr>
          <w:p w14:paraId="144052B4"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0,38</w:t>
            </w:r>
          </w:p>
        </w:tc>
        <w:tc>
          <w:tcPr>
            <w:tcW w:w="0" w:type="auto"/>
            <w:tcBorders>
              <w:top w:val="nil"/>
              <w:left w:val="nil"/>
              <w:bottom w:val="single" w:sz="4" w:space="0" w:color="auto"/>
              <w:right w:val="single" w:sz="4" w:space="0" w:color="auto"/>
            </w:tcBorders>
            <w:shd w:val="clear" w:color="auto" w:fill="auto"/>
            <w:noWrap/>
            <w:vAlign w:val="bottom"/>
            <w:hideMark/>
          </w:tcPr>
          <w:p w14:paraId="02B191FF"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0,77</w:t>
            </w:r>
          </w:p>
        </w:tc>
        <w:tc>
          <w:tcPr>
            <w:tcW w:w="0" w:type="auto"/>
            <w:tcBorders>
              <w:top w:val="nil"/>
              <w:left w:val="nil"/>
              <w:bottom w:val="single" w:sz="4" w:space="0" w:color="auto"/>
              <w:right w:val="single" w:sz="4" w:space="0" w:color="auto"/>
            </w:tcBorders>
            <w:shd w:val="clear" w:color="auto" w:fill="auto"/>
            <w:noWrap/>
            <w:vAlign w:val="bottom"/>
            <w:hideMark/>
          </w:tcPr>
          <w:p w14:paraId="713A8580"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0,63</w:t>
            </w:r>
          </w:p>
        </w:tc>
      </w:tr>
      <w:tr w:rsidR="00E83953" w:rsidRPr="000C325B" w14:paraId="0FA4DE39" w14:textId="77777777" w:rsidTr="00C25F39">
        <w:trPr>
          <w:trHeight w:val="272"/>
          <w:jc w:val="center"/>
        </w:trPr>
        <w:tc>
          <w:tcPr>
            <w:tcW w:w="0" w:type="auto"/>
            <w:vMerge w:val="restart"/>
            <w:tcBorders>
              <w:top w:val="nil"/>
              <w:left w:val="single" w:sz="4" w:space="0" w:color="auto"/>
              <w:bottom w:val="single" w:sz="4" w:space="0" w:color="000000"/>
              <w:right w:val="single" w:sz="4" w:space="0" w:color="auto"/>
            </w:tcBorders>
            <w:shd w:val="clear" w:color="auto" w:fill="auto"/>
            <w:textDirection w:val="btLr"/>
            <w:vAlign w:val="center"/>
            <w:hideMark/>
          </w:tcPr>
          <w:p w14:paraId="13657E58"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Gruberjev prekop</w:t>
            </w: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37ACAFE4"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 xml:space="preserve">pod zapornico </w:t>
            </w:r>
          </w:p>
          <w:p w14:paraId="76E480F6"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3 m</w:t>
            </w:r>
            <w:r w:rsidRPr="000C325B">
              <w:rPr>
                <w:rFonts w:asciiTheme="minorHAnsi" w:hAnsiTheme="minorHAnsi" w:cstheme="minorHAnsi"/>
                <w:sz w:val="22"/>
                <w:szCs w:val="22"/>
                <w:vertAlign w:val="superscript"/>
                <w:lang w:val="sl-SI"/>
              </w:rPr>
              <w:t>3</w:t>
            </w:r>
            <w:r w:rsidRPr="000C325B">
              <w:rPr>
                <w:rFonts w:asciiTheme="minorHAnsi" w:hAnsiTheme="minorHAnsi" w:cstheme="minorHAnsi"/>
                <w:sz w:val="22"/>
                <w:szCs w:val="22"/>
                <w:lang w:val="sl-SI"/>
              </w:rPr>
              <w:t>/s</w:t>
            </w:r>
          </w:p>
        </w:tc>
        <w:tc>
          <w:tcPr>
            <w:tcW w:w="0" w:type="auto"/>
            <w:tcBorders>
              <w:top w:val="nil"/>
              <w:left w:val="nil"/>
              <w:bottom w:val="single" w:sz="4" w:space="0" w:color="auto"/>
              <w:right w:val="single" w:sz="4" w:space="0" w:color="auto"/>
            </w:tcBorders>
            <w:shd w:val="clear" w:color="auto" w:fill="auto"/>
            <w:noWrap/>
            <w:vAlign w:val="bottom"/>
            <w:hideMark/>
          </w:tcPr>
          <w:p w14:paraId="373453FB"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17,19</w:t>
            </w:r>
          </w:p>
        </w:tc>
        <w:tc>
          <w:tcPr>
            <w:tcW w:w="0" w:type="auto"/>
            <w:tcBorders>
              <w:top w:val="nil"/>
              <w:left w:val="nil"/>
              <w:bottom w:val="single" w:sz="4" w:space="0" w:color="auto"/>
              <w:right w:val="single" w:sz="4" w:space="0" w:color="auto"/>
            </w:tcBorders>
            <w:shd w:val="clear" w:color="auto" w:fill="auto"/>
            <w:noWrap/>
            <w:vAlign w:val="bottom"/>
            <w:hideMark/>
          </w:tcPr>
          <w:p w14:paraId="6D868C56"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23,25</w:t>
            </w:r>
          </w:p>
        </w:tc>
        <w:tc>
          <w:tcPr>
            <w:tcW w:w="0" w:type="auto"/>
            <w:tcBorders>
              <w:top w:val="nil"/>
              <w:left w:val="nil"/>
              <w:bottom w:val="single" w:sz="4" w:space="0" w:color="auto"/>
              <w:right w:val="single" w:sz="4" w:space="0" w:color="auto"/>
            </w:tcBorders>
            <w:shd w:val="clear" w:color="auto" w:fill="auto"/>
            <w:noWrap/>
            <w:vAlign w:val="bottom"/>
            <w:hideMark/>
          </w:tcPr>
          <w:p w14:paraId="5DC2BC5F"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19,07</w:t>
            </w:r>
          </w:p>
        </w:tc>
        <w:tc>
          <w:tcPr>
            <w:tcW w:w="0" w:type="auto"/>
            <w:tcBorders>
              <w:top w:val="nil"/>
              <w:left w:val="nil"/>
              <w:bottom w:val="single" w:sz="4" w:space="0" w:color="auto"/>
              <w:right w:val="single" w:sz="4" w:space="0" w:color="auto"/>
            </w:tcBorders>
            <w:shd w:val="clear" w:color="auto" w:fill="auto"/>
            <w:noWrap/>
            <w:vAlign w:val="bottom"/>
            <w:hideMark/>
          </w:tcPr>
          <w:p w14:paraId="12C16F8B"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0,52</w:t>
            </w:r>
          </w:p>
        </w:tc>
        <w:tc>
          <w:tcPr>
            <w:tcW w:w="0" w:type="auto"/>
            <w:tcBorders>
              <w:top w:val="nil"/>
              <w:left w:val="nil"/>
              <w:bottom w:val="single" w:sz="4" w:space="0" w:color="auto"/>
              <w:right w:val="single" w:sz="4" w:space="0" w:color="auto"/>
            </w:tcBorders>
            <w:shd w:val="clear" w:color="auto" w:fill="auto"/>
            <w:noWrap/>
            <w:vAlign w:val="bottom"/>
            <w:hideMark/>
          </w:tcPr>
          <w:p w14:paraId="21E0D19C"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4,49</w:t>
            </w:r>
          </w:p>
        </w:tc>
        <w:tc>
          <w:tcPr>
            <w:tcW w:w="0" w:type="auto"/>
            <w:tcBorders>
              <w:top w:val="nil"/>
              <w:left w:val="nil"/>
              <w:bottom w:val="single" w:sz="4" w:space="0" w:color="auto"/>
              <w:right w:val="single" w:sz="4" w:space="0" w:color="auto"/>
            </w:tcBorders>
            <w:shd w:val="clear" w:color="auto" w:fill="auto"/>
            <w:noWrap/>
            <w:vAlign w:val="bottom"/>
            <w:hideMark/>
          </w:tcPr>
          <w:p w14:paraId="48D6044B"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2,00</w:t>
            </w:r>
          </w:p>
        </w:tc>
        <w:tc>
          <w:tcPr>
            <w:tcW w:w="0" w:type="auto"/>
            <w:tcBorders>
              <w:top w:val="nil"/>
              <w:left w:val="nil"/>
              <w:bottom w:val="single" w:sz="4" w:space="0" w:color="auto"/>
              <w:right w:val="single" w:sz="4" w:space="0" w:color="auto"/>
            </w:tcBorders>
            <w:shd w:val="clear" w:color="auto" w:fill="auto"/>
            <w:noWrap/>
            <w:vAlign w:val="bottom"/>
            <w:hideMark/>
          </w:tcPr>
          <w:p w14:paraId="556F9B0B"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0,05</w:t>
            </w:r>
          </w:p>
        </w:tc>
        <w:tc>
          <w:tcPr>
            <w:tcW w:w="0" w:type="auto"/>
            <w:tcBorders>
              <w:top w:val="nil"/>
              <w:left w:val="nil"/>
              <w:bottom w:val="single" w:sz="4" w:space="0" w:color="auto"/>
              <w:right w:val="single" w:sz="4" w:space="0" w:color="auto"/>
            </w:tcBorders>
            <w:shd w:val="clear" w:color="auto" w:fill="auto"/>
            <w:noWrap/>
            <w:vAlign w:val="bottom"/>
            <w:hideMark/>
          </w:tcPr>
          <w:p w14:paraId="359BE11E"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0,37</w:t>
            </w:r>
          </w:p>
        </w:tc>
        <w:tc>
          <w:tcPr>
            <w:tcW w:w="0" w:type="auto"/>
            <w:tcBorders>
              <w:top w:val="nil"/>
              <w:left w:val="nil"/>
              <w:bottom w:val="single" w:sz="4" w:space="0" w:color="auto"/>
              <w:right w:val="single" w:sz="4" w:space="0" w:color="auto"/>
            </w:tcBorders>
            <w:shd w:val="clear" w:color="auto" w:fill="auto"/>
            <w:noWrap/>
            <w:vAlign w:val="bottom"/>
            <w:hideMark/>
          </w:tcPr>
          <w:p w14:paraId="381819DC"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0,15</w:t>
            </w:r>
          </w:p>
        </w:tc>
      </w:tr>
      <w:tr w:rsidR="00E83953" w:rsidRPr="000C325B" w14:paraId="013A2845" w14:textId="77777777" w:rsidTr="00C25F39">
        <w:trPr>
          <w:trHeight w:val="272"/>
          <w:jc w:val="center"/>
        </w:trPr>
        <w:tc>
          <w:tcPr>
            <w:tcW w:w="0" w:type="auto"/>
            <w:vMerge/>
            <w:tcBorders>
              <w:top w:val="nil"/>
              <w:left w:val="single" w:sz="4" w:space="0" w:color="auto"/>
              <w:bottom w:val="single" w:sz="4" w:space="0" w:color="000000"/>
              <w:right w:val="single" w:sz="4" w:space="0" w:color="auto"/>
            </w:tcBorders>
            <w:vAlign w:val="center"/>
            <w:hideMark/>
          </w:tcPr>
          <w:p w14:paraId="42EDE741" w14:textId="77777777" w:rsidR="00E83953" w:rsidRPr="000C325B" w:rsidRDefault="00E83953" w:rsidP="00C25F39">
            <w:pPr>
              <w:spacing w:after="0" w:line="240" w:lineRule="auto"/>
              <w:rPr>
                <w:rFonts w:cstheme="minorHAnsi"/>
                <w:b/>
                <w:bCs/>
                <w:color w:val="000000"/>
              </w:rPr>
            </w:pP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3BCD8B72"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 xml:space="preserve">pod zapornico </w:t>
            </w:r>
          </w:p>
          <w:p w14:paraId="576B5E4B"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55 m</w:t>
            </w:r>
            <w:r w:rsidRPr="000C325B">
              <w:rPr>
                <w:rFonts w:asciiTheme="minorHAnsi" w:hAnsiTheme="minorHAnsi" w:cstheme="minorHAnsi"/>
                <w:sz w:val="22"/>
                <w:szCs w:val="22"/>
                <w:vertAlign w:val="superscript"/>
                <w:lang w:val="sl-SI"/>
              </w:rPr>
              <w:t>3</w:t>
            </w:r>
            <w:r w:rsidRPr="000C325B">
              <w:rPr>
                <w:rFonts w:asciiTheme="minorHAnsi" w:hAnsiTheme="minorHAnsi" w:cstheme="minorHAnsi"/>
                <w:sz w:val="22"/>
                <w:szCs w:val="22"/>
                <w:lang w:val="sl-SI"/>
              </w:rPr>
              <w:t>/s</w:t>
            </w:r>
          </w:p>
        </w:tc>
        <w:tc>
          <w:tcPr>
            <w:tcW w:w="0" w:type="auto"/>
            <w:tcBorders>
              <w:top w:val="nil"/>
              <w:left w:val="nil"/>
              <w:bottom w:val="single" w:sz="4" w:space="0" w:color="auto"/>
              <w:right w:val="single" w:sz="4" w:space="0" w:color="auto"/>
            </w:tcBorders>
            <w:shd w:val="clear" w:color="auto" w:fill="auto"/>
            <w:noWrap/>
            <w:vAlign w:val="bottom"/>
            <w:hideMark/>
          </w:tcPr>
          <w:p w14:paraId="4D0D40D5"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18,43</w:t>
            </w:r>
          </w:p>
        </w:tc>
        <w:tc>
          <w:tcPr>
            <w:tcW w:w="0" w:type="auto"/>
            <w:tcBorders>
              <w:top w:val="nil"/>
              <w:left w:val="nil"/>
              <w:bottom w:val="single" w:sz="4" w:space="0" w:color="auto"/>
              <w:right w:val="single" w:sz="4" w:space="0" w:color="auto"/>
            </w:tcBorders>
            <w:shd w:val="clear" w:color="auto" w:fill="auto"/>
            <w:noWrap/>
            <w:vAlign w:val="bottom"/>
            <w:hideMark/>
          </w:tcPr>
          <w:p w14:paraId="107D0033"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23,25</w:t>
            </w:r>
          </w:p>
        </w:tc>
        <w:tc>
          <w:tcPr>
            <w:tcW w:w="0" w:type="auto"/>
            <w:tcBorders>
              <w:top w:val="nil"/>
              <w:left w:val="nil"/>
              <w:bottom w:val="single" w:sz="4" w:space="0" w:color="auto"/>
              <w:right w:val="single" w:sz="4" w:space="0" w:color="auto"/>
            </w:tcBorders>
            <w:shd w:val="clear" w:color="auto" w:fill="auto"/>
            <w:noWrap/>
            <w:vAlign w:val="bottom"/>
            <w:hideMark/>
          </w:tcPr>
          <w:p w14:paraId="267D6FAF"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21,03</w:t>
            </w:r>
          </w:p>
        </w:tc>
        <w:tc>
          <w:tcPr>
            <w:tcW w:w="0" w:type="auto"/>
            <w:tcBorders>
              <w:top w:val="nil"/>
              <w:left w:val="nil"/>
              <w:bottom w:val="single" w:sz="4" w:space="0" w:color="auto"/>
              <w:right w:val="single" w:sz="4" w:space="0" w:color="auto"/>
            </w:tcBorders>
            <w:shd w:val="clear" w:color="auto" w:fill="auto"/>
            <w:noWrap/>
            <w:vAlign w:val="bottom"/>
            <w:hideMark/>
          </w:tcPr>
          <w:p w14:paraId="3532472B"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1,97</w:t>
            </w:r>
          </w:p>
        </w:tc>
        <w:tc>
          <w:tcPr>
            <w:tcW w:w="0" w:type="auto"/>
            <w:tcBorders>
              <w:top w:val="nil"/>
              <w:left w:val="nil"/>
              <w:bottom w:val="single" w:sz="4" w:space="0" w:color="auto"/>
              <w:right w:val="single" w:sz="4" w:space="0" w:color="auto"/>
            </w:tcBorders>
            <w:shd w:val="clear" w:color="auto" w:fill="auto"/>
            <w:noWrap/>
            <w:vAlign w:val="bottom"/>
            <w:hideMark/>
          </w:tcPr>
          <w:p w14:paraId="64E1181B"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4,48</w:t>
            </w:r>
          </w:p>
        </w:tc>
        <w:tc>
          <w:tcPr>
            <w:tcW w:w="0" w:type="auto"/>
            <w:tcBorders>
              <w:top w:val="nil"/>
              <w:left w:val="nil"/>
              <w:bottom w:val="single" w:sz="4" w:space="0" w:color="auto"/>
              <w:right w:val="single" w:sz="4" w:space="0" w:color="auto"/>
            </w:tcBorders>
            <w:shd w:val="clear" w:color="auto" w:fill="auto"/>
            <w:noWrap/>
            <w:vAlign w:val="bottom"/>
            <w:hideMark/>
          </w:tcPr>
          <w:p w14:paraId="2A66BBB2"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2,76</w:t>
            </w:r>
          </w:p>
        </w:tc>
        <w:tc>
          <w:tcPr>
            <w:tcW w:w="0" w:type="auto"/>
            <w:tcBorders>
              <w:top w:val="nil"/>
              <w:left w:val="nil"/>
              <w:bottom w:val="single" w:sz="4" w:space="0" w:color="auto"/>
              <w:right w:val="single" w:sz="4" w:space="0" w:color="auto"/>
            </w:tcBorders>
            <w:shd w:val="clear" w:color="auto" w:fill="auto"/>
            <w:noWrap/>
            <w:vAlign w:val="bottom"/>
            <w:hideMark/>
          </w:tcPr>
          <w:p w14:paraId="423B671E"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0,90</w:t>
            </w:r>
          </w:p>
        </w:tc>
        <w:tc>
          <w:tcPr>
            <w:tcW w:w="0" w:type="auto"/>
            <w:tcBorders>
              <w:top w:val="nil"/>
              <w:left w:val="nil"/>
              <w:bottom w:val="single" w:sz="4" w:space="0" w:color="auto"/>
              <w:right w:val="single" w:sz="4" w:space="0" w:color="auto"/>
            </w:tcBorders>
            <w:shd w:val="clear" w:color="auto" w:fill="auto"/>
            <w:noWrap/>
            <w:vAlign w:val="bottom"/>
            <w:hideMark/>
          </w:tcPr>
          <w:p w14:paraId="7BEFC05D"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1,51</w:t>
            </w:r>
          </w:p>
        </w:tc>
        <w:tc>
          <w:tcPr>
            <w:tcW w:w="0" w:type="auto"/>
            <w:tcBorders>
              <w:top w:val="nil"/>
              <w:left w:val="nil"/>
              <w:bottom w:val="single" w:sz="4" w:space="0" w:color="auto"/>
              <w:right w:val="single" w:sz="4" w:space="0" w:color="auto"/>
            </w:tcBorders>
            <w:shd w:val="clear" w:color="auto" w:fill="auto"/>
            <w:noWrap/>
            <w:vAlign w:val="bottom"/>
            <w:hideMark/>
          </w:tcPr>
          <w:p w14:paraId="37B3A127"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1,31</w:t>
            </w:r>
          </w:p>
        </w:tc>
      </w:tr>
      <w:tr w:rsidR="00E83953" w:rsidRPr="000C325B" w14:paraId="3811F958" w14:textId="77777777" w:rsidTr="00C25F39">
        <w:trPr>
          <w:trHeight w:val="272"/>
          <w:jc w:val="center"/>
        </w:trPr>
        <w:tc>
          <w:tcPr>
            <w:tcW w:w="0" w:type="auto"/>
            <w:vMerge/>
            <w:tcBorders>
              <w:top w:val="nil"/>
              <w:left w:val="single" w:sz="4" w:space="0" w:color="auto"/>
              <w:bottom w:val="single" w:sz="4" w:space="0" w:color="000000"/>
              <w:right w:val="single" w:sz="4" w:space="0" w:color="auto"/>
            </w:tcBorders>
            <w:vAlign w:val="center"/>
            <w:hideMark/>
          </w:tcPr>
          <w:p w14:paraId="2F277D0A" w14:textId="77777777" w:rsidR="00E83953" w:rsidRPr="000C325B" w:rsidRDefault="00E83953" w:rsidP="00C25F39">
            <w:pPr>
              <w:spacing w:after="0" w:line="240" w:lineRule="auto"/>
              <w:rPr>
                <w:rFonts w:cstheme="minorHAnsi"/>
                <w:b/>
                <w:bCs/>
                <w:color w:val="000000"/>
              </w:rPr>
            </w:pP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18F4B54A"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 xml:space="preserve">nad NOVO zapornico, </w:t>
            </w:r>
          </w:p>
          <w:p w14:paraId="7EDB8FE3"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3 m</w:t>
            </w:r>
            <w:r w:rsidRPr="000C325B">
              <w:rPr>
                <w:rFonts w:asciiTheme="minorHAnsi" w:hAnsiTheme="minorHAnsi" w:cstheme="minorHAnsi"/>
                <w:sz w:val="22"/>
                <w:szCs w:val="22"/>
                <w:vertAlign w:val="superscript"/>
                <w:lang w:val="sl-SI"/>
              </w:rPr>
              <w:t>3</w:t>
            </w:r>
            <w:r w:rsidRPr="000C325B">
              <w:rPr>
                <w:rFonts w:asciiTheme="minorHAnsi" w:hAnsiTheme="minorHAnsi" w:cstheme="minorHAnsi"/>
                <w:sz w:val="22"/>
                <w:szCs w:val="22"/>
                <w:lang w:val="sl-SI"/>
              </w:rPr>
              <w:t>/s</w:t>
            </w:r>
          </w:p>
        </w:tc>
        <w:tc>
          <w:tcPr>
            <w:tcW w:w="0" w:type="auto"/>
            <w:tcBorders>
              <w:top w:val="nil"/>
              <w:left w:val="nil"/>
              <w:bottom w:val="single" w:sz="4" w:space="0" w:color="auto"/>
              <w:right w:val="single" w:sz="4" w:space="0" w:color="auto"/>
            </w:tcBorders>
            <w:shd w:val="clear" w:color="auto" w:fill="auto"/>
            <w:noWrap/>
            <w:vAlign w:val="bottom"/>
            <w:hideMark/>
          </w:tcPr>
          <w:p w14:paraId="482C0245"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22,27</w:t>
            </w:r>
          </w:p>
        </w:tc>
        <w:tc>
          <w:tcPr>
            <w:tcW w:w="0" w:type="auto"/>
            <w:tcBorders>
              <w:top w:val="nil"/>
              <w:left w:val="nil"/>
              <w:bottom w:val="single" w:sz="4" w:space="0" w:color="auto"/>
              <w:right w:val="single" w:sz="4" w:space="0" w:color="auto"/>
            </w:tcBorders>
            <w:shd w:val="clear" w:color="auto" w:fill="auto"/>
            <w:noWrap/>
            <w:vAlign w:val="bottom"/>
            <w:hideMark/>
          </w:tcPr>
          <w:p w14:paraId="5B5FEA9B"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32,13</w:t>
            </w:r>
          </w:p>
        </w:tc>
        <w:tc>
          <w:tcPr>
            <w:tcW w:w="0" w:type="auto"/>
            <w:tcBorders>
              <w:top w:val="nil"/>
              <w:left w:val="nil"/>
              <w:bottom w:val="single" w:sz="4" w:space="0" w:color="auto"/>
              <w:right w:val="single" w:sz="4" w:space="0" w:color="auto"/>
            </w:tcBorders>
            <w:shd w:val="clear" w:color="auto" w:fill="auto"/>
            <w:noWrap/>
            <w:vAlign w:val="bottom"/>
            <w:hideMark/>
          </w:tcPr>
          <w:p w14:paraId="09B81879"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25,07</w:t>
            </w:r>
          </w:p>
        </w:tc>
        <w:tc>
          <w:tcPr>
            <w:tcW w:w="0" w:type="auto"/>
            <w:tcBorders>
              <w:top w:val="nil"/>
              <w:left w:val="nil"/>
              <w:bottom w:val="single" w:sz="4" w:space="0" w:color="auto"/>
              <w:right w:val="single" w:sz="4" w:space="0" w:color="auto"/>
            </w:tcBorders>
            <w:shd w:val="clear" w:color="auto" w:fill="auto"/>
            <w:noWrap/>
            <w:vAlign w:val="bottom"/>
            <w:hideMark/>
          </w:tcPr>
          <w:p w14:paraId="768F9D77"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2,53</w:t>
            </w:r>
          </w:p>
        </w:tc>
        <w:tc>
          <w:tcPr>
            <w:tcW w:w="0" w:type="auto"/>
            <w:tcBorders>
              <w:top w:val="nil"/>
              <w:left w:val="nil"/>
              <w:bottom w:val="single" w:sz="4" w:space="0" w:color="auto"/>
              <w:right w:val="single" w:sz="4" w:space="0" w:color="auto"/>
            </w:tcBorders>
            <w:shd w:val="clear" w:color="auto" w:fill="auto"/>
            <w:noWrap/>
            <w:vAlign w:val="bottom"/>
            <w:hideMark/>
          </w:tcPr>
          <w:p w14:paraId="7E98D151"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4,97</w:t>
            </w:r>
          </w:p>
        </w:tc>
        <w:tc>
          <w:tcPr>
            <w:tcW w:w="0" w:type="auto"/>
            <w:tcBorders>
              <w:top w:val="nil"/>
              <w:left w:val="nil"/>
              <w:bottom w:val="single" w:sz="4" w:space="0" w:color="auto"/>
              <w:right w:val="single" w:sz="4" w:space="0" w:color="auto"/>
            </w:tcBorders>
            <w:shd w:val="clear" w:color="auto" w:fill="auto"/>
            <w:noWrap/>
            <w:vAlign w:val="bottom"/>
            <w:hideMark/>
          </w:tcPr>
          <w:p w14:paraId="47A310A1"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3,18</w:t>
            </w:r>
          </w:p>
        </w:tc>
        <w:tc>
          <w:tcPr>
            <w:tcW w:w="0" w:type="auto"/>
            <w:tcBorders>
              <w:top w:val="nil"/>
              <w:left w:val="nil"/>
              <w:bottom w:val="single" w:sz="4" w:space="0" w:color="auto"/>
              <w:right w:val="single" w:sz="4" w:space="0" w:color="auto"/>
            </w:tcBorders>
            <w:shd w:val="clear" w:color="auto" w:fill="auto"/>
            <w:noWrap/>
            <w:vAlign w:val="bottom"/>
            <w:hideMark/>
          </w:tcPr>
          <w:p w14:paraId="55C1C23C"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0,02</w:t>
            </w:r>
          </w:p>
        </w:tc>
        <w:tc>
          <w:tcPr>
            <w:tcW w:w="0" w:type="auto"/>
            <w:tcBorders>
              <w:top w:val="nil"/>
              <w:left w:val="nil"/>
              <w:bottom w:val="single" w:sz="4" w:space="0" w:color="auto"/>
              <w:right w:val="single" w:sz="4" w:space="0" w:color="auto"/>
            </w:tcBorders>
            <w:shd w:val="clear" w:color="auto" w:fill="auto"/>
            <w:noWrap/>
            <w:vAlign w:val="bottom"/>
            <w:hideMark/>
          </w:tcPr>
          <w:p w14:paraId="05455829"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0,05</w:t>
            </w:r>
          </w:p>
        </w:tc>
        <w:tc>
          <w:tcPr>
            <w:tcW w:w="0" w:type="auto"/>
            <w:tcBorders>
              <w:top w:val="nil"/>
              <w:left w:val="nil"/>
              <w:bottom w:val="single" w:sz="4" w:space="0" w:color="auto"/>
              <w:right w:val="single" w:sz="4" w:space="0" w:color="auto"/>
            </w:tcBorders>
            <w:shd w:val="clear" w:color="auto" w:fill="auto"/>
            <w:noWrap/>
            <w:vAlign w:val="bottom"/>
            <w:hideMark/>
          </w:tcPr>
          <w:p w14:paraId="5053C0A2"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0,04</w:t>
            </w:r>
          </w:p>
        </w:tc>
      </w:tr>
      <w:tr w:rsidR="00E83953" w:rsidRPr="000C325B" w14:paraId="294A5D1D" w14:textId="77777777" w:rsidTr="00C25F39">
        <w:trPr>
          <w:trHeight w:val="272"/>
          <w:jc w:val="center"/>
        </w:trPr>
        <w:tc>
          <w:tcPr>
            <w:tcW w:w="0" w:type="auto"/>
            <w:vMerge/>
            <w:tcBorders>
              <w:top w:val="nil"/>
              <w:left w:val="single" w:sz="4" w:space="0" w:color="auto"/>
              <w:bottom w:val="single" w:sz="4" w:space="0" w:color="000000"/>
              <w:right w:val="single" w:sz="4" w:space="0" w:color="auto"/>
            </w:tcBorders>
            <w:vAlign w:val="center"/>
            <w:hideMark/>
          </w:tcPr>
          <w:p w14:paraId="24976D6D" w14:textId="77777777" w:rsidR="00E83953" w:rsidRPr="000C325B" w:rsidRDefault="00E83953" w:rsidP="00C25F39">
            <w:pPr>
              <w:spacing w:after="0" w:line="240" w:lineRule="auto"/>
              <w:rPr>
                <w:rFonts w:cstheme="minorHAnsi"/>
                <w:b/>
                <w:bCs/>
                <w:color w:val="000000"/>
              </w:rPr>
            </w:pPr>
          </w:p>
        </w:tc>
        <w:tc>
          <w:tcPr>
            <w:tcW w:w="0" w:type="auto"/>
            <w:tcBorders>
              <w:top w:val="nil"/>
              <w:left w:val="single" w:sz="4" w:space="0" w:color="auto"/>
              <w:bottom w:val="single" w:sz="4" w:space="0" w:color="auto"/>
              <w:right w:val="single" w:sz="4" w:space="0" w:color="auto"/>
            </w:tcBorders>
            <w:shd w:val="clear" w:color="auto" w:fill="auto"/>
            <w:hideMark/>
          </w:tcPr>
          <w:p w14:paraId="604DBADF"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 xml:space="preserve">nad NOVO zapornico, </w:t>
            </w:r>
          </w:p>
          <w:p w14:paraId="2106F9C5"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55 m</w:t>
            </w:r>
            <w:r w:rsidRPr="000C325B">
              <w:rPr>
                <w:rFonts w:asciiTheme="minorHAnsi" w:hAnsiTheme="minorHAnsi" w:cstheme="minorHAnsi"/>
                <w:sz w:val="22"/>
                <w:szCs w:val="22"/>
                <w:vertAlign w:val="superscript"/>
                <w:lang w:val="sl-SI"/>
              </w:rPr>
              <w:t>3</w:t>
            </w:r>
            <w:r w:rsidRPr="000C325B">
              <w:rPr>
                <w:rFonts w:asciiTheme="minorHAnsi" w:hAnsiTheme="minorHAnsi" w:cstheme="minorHAnsi"/>
                <w:sz w:val="22"/>
                <w:szCs w:val="22"/>
                <w:lang w:val="sl-SI"/>
              </w:rPr>
              <w:t>/s</w:t>
            </w:r>
          </w:p>
        </w:tc>
        <w:tc>
          <w:tcPr>
            <w:tcW w:w="0" w:type="auto"/>
            <w:tcBorders>
              <w:top w:val="nil"/>
              <w:left w:val="nil"/>
              <w:bottom w:val="single" w:sz="4" w:space="0" w:color="auto"/>
              <w:right w:val="single" w:sz="4" w:space="0" w:color="auto"/>
            </w:tcBorders>
            <w:shd w:val="clear" w:color="auto" w:fill="auto"/>
            <w:noWrap/>
            <w:vAlign w:val="bottom"/>
            <w:hideMark/>
          </w:tcPr>
          <w:p w14:paraId="23A8BE9A"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22,50</w:t>
            </w:r>
          </w:p>
        </w:tc>
        <w:tc>
          <w:tcPr>
            <w:tcW w:w="0" w:type="auto"/>
            <w:tcBorders>
              <w:top w:val="nil"/>
              <w:left w:val="nil"/>
              <w:bottom w:val="single" w:sz="4" w:space="0" w:color="auto"/>
              <w:right w:val="single" w:sz="4" w:space="0" w:color="auto"/>
            </w:tcBorders>
            <w:shd w:val="clear" w:color="auto" w:fill="auto"/>
            <w:noWrap/>
            <w:vAlign w:val="bottom"/>
            <w:hideMark/>
          </w:tcPr>
          <w:p w14:paraId="1BA4F117"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49,42</w:t>
            </w:r>
          </w:p>
        </w:tc>
        <w:tc>
          <w:tcPr>
            <w:tcW w:w="0" w:type="auto"/>
            <w:tcBorders>
              <w:top w:val="nil"/>
              <w:left w:val="nil"/>
              <w:bottom w:val="single" w:sz="4" w:space="0" w:color="auto"/>
              <w:right w:val="single" w:sz="4" w:space="0" w:color="auto"/>
            </w:tcBorders>
            <w:shd w:val="clear" w:color="auto" w:fill="auto"/>
            <w:noWrap/>
            <w:vAlign w:val="bottom"/>
            <w:hideMark/>
          </w:tcPr>
          <w:p w14:paraId="21C1BC59"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25,76</w:t>
            </w:r>
          </w:p>
        </w:tc>
        <w:tc>
          <w:tcPr>
            <w:tcW w:w="0" w:type="auto"/>
            <w:tcBorders>
              <w:top w:val="nil"/>
              <w:left w:val="nil"/>
              <w:bottom w:val="single" w:sz="4" w:space="0" w:color="auto"/>
              <w:right w:val="single" w:sz="4" w:space="0" w:color="auto"/>
            </w:tcBorders>
            <w:shd w:val="clear" w:color="auto" w:fill="auto"/>
            <w:noWrap/>
            <w:vAlign w:val="bottom"/>
            <w:hideMark/>
          </w:tcPr>
          <w:p w14:paraId="206376A1"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2,82</w:t>
            </w:r>
          </w:p>
        </w:tc>
        <w:tc>
          <w:tcPr>
            <w:tcW w:w="0" w:type="auto"/>
            <w:tcBorders>
              <w:top w:val="nil"/>
              <w:left w:val="nil"/>
              <w:bottom w:val="single" w:sz="4" w:space="0" w:color="auto"/>
              <w:right w:val="single" w:sz="4" w:space="0" w:color="auto"/>
            </w:tcBorders>
            <w:shd w:val="clear" w:color="auto" w:fill="auto"/>
            <w:noWrap/>
            <w:vAlign w:val="bottom"/>
            <w:hideMark/>
          </w:tcPr>
          <w:p w14:paraId="22CABF3A"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5,31</w:t>
            </w:r>
          </w:p>
        </w:tc>
        <w:tc>
          <w:tcPr>
            <w:tcW w:w="0" w:type="auto"/>
            <w:tcBorders>
              <w:top w:val="nil"/>
              <w:left w:val="nil"/>
              <w:bottom w:val="single" w:sz="4" w:space="0" w:color="auto"/>
              <w:right w:val="single" w:sz="4" w:space="0" w:color="auto"/>
            </w:tcBorders>
            <w:shd w:val="clear" w:color="auto" w:fill="auto"/>
            <w:noWrap/>
            <w:vAlign w:val="bottom"/>
            <w:hideMark/>
          </w:tcPr>
          <w:p w14:paraId="5716EB83"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3,39</w:t>
            </w:r>
          </w:p>
        </w:tc>
        <w:tc>
          <w:tcPr>
            <w:tcW w:w="0" w:type="auto"/>
            <w:tcBorders>
              <w:top w:val="nil"/>
              <w:left w:val="nil"/>
              <w:bottom w:val="single" w:sz="4" w:space="0" w:color="auto"/>
              <w:right w:val="single" w:sz="4" w:space="0" w:color="auto"/>
            </w:tcBorders>
            <w:shd w:val="clear" w:color="auto" w:fill="auto"/>
            <w:noWrap/>
            <w:vAlign w:val="bottom"/>
            <w:hideMark/>
          </w:tcPr>
          <w:p w14:paraId="2555D975"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0,37</w:t>
            </w:r>
          </w:p>
        </w:tc>
        <w:tc>
          <w:tcPr>
            <w:tcW w:w="0" w:type="auto"/>
            <w:tcBorders>
              <w:top w:val="nil"/>
              <w:left w:val="nil"/>
              <w:bottom w:val="single" w:sz="4" w:space="0" w:color="auto"/>
              <w:right w:val="single" w:sz="4" w:space="0" w:color="auto"/>
            </w:tcBorders>
            <w:shd w:val="clear" w:color="auto" w:fill="auto"/>
            <w:noWrap/>
            <w:vAlign w:val="bottom"/>
            <w:hideMark/>
          </w:tcPr>
          <w:p w14:paraId="69842150"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1,09</w:t>
            </w:r>
          </w:p>
        </w:tc>
        <w:tc>
          <w:tcPr>
            <w:tcW w:w="0" w:type="auto"/>
            <w:tcBorders>
              <w:top w:val="nil"/>
              <w:left w:val="nil"/>
              <w:bottom w:val="single" w:sz="4" w:space="0" w:color="auto"/>
              <w:right w:val="single" w:sz="4" w:space="0" w:color="auto"/>
            </w:tcBorders>
            <w:shd w:val="clear" w:color="auto" w:fill="auto"/>
            <w:noWrap/>
            <w:vAlign w:val="bottom"/>
            <w:hideMark/>
          </w:tcPr>
          <w:p w14:paraId="0CFEE2AA"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0,87</w:t>
            </w:r>
          </w:p>
        </w:tc>
      </w:tr>
      <w:tr w:rsidR="00E83953" w:rsidRPr="000C325B" w14:paraId="5899C3DC" w14:textId="77777777" w:rsidTr="00C25F39">
        <w:trPr>
          <w:trHeight w:val="272"/>
          <w:jc w:val="center"/>
        </w:trPr>
        <w:tc>
          <w:tcPr>
            <w:tcW w:w="0" w:type="auto"/>
            <w:vMerge w:val="restart"/>
            <w:tcBorders>
              <w:top w:val="single" w:sz="4" w:space="0" w:color="000000"/>
              <w:bottom w:val="single" w:sz="4" w:space="0" w:color="000000"/>
              <w:right w:val="single" w:sz="4" w:space="0" w:color="auto"/>
            </w:tcBorders>
            <w:shd w:val="clear" w:color="auto" w:fill="auto"/>
            <w:textDirection w:val="btLr"/>
            <w:vAlign w:val="center"/>
            <w:hideMark/>
          </w:tcPr>
          <w:p w14:paraId="24E2F4B5"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Skupna Ljubljanica</w:t>
            </w: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31D28F0F"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 xml:space="preserve">pod sotočjem </w:t>
            </w:r>
          </w:p>
          <w:p w14:paraId="75C6FAFA"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10 m</w:t>
            </w:r>
            <w:r w:rsidRPr="000C325B">
              <w:rPr>
                <w:rFonts w:asciiTheme="minorHAnsi" w:hAnsiTheme="minorHAnsi" w:cstheme="minorHAnsi"/>
                <w:sz w:val="22"/>
                <w:szCs w:val="22"/>
                <w:vertAlign w:val="superscript"/>
                <w:lang w:val="sl-SI"/>
              </w:rPr>
              <w:t>3</w:t>
            </w:r>
            <w:r w:rsidRPr="000C325B">
              <w:rPr>
                <w:rFonts w:asciiTheme="minorHAnsi" w:hAnsiTheme="minorHAnsi" w:cstheme="minorHAnsi"/>
                <w:sz w:val="22"/>
                <w:szCs w:val="22"/>
                <w:lang w:val="sl-SI"/>
              </w:rPr>
              <w:t>/s</w:t>
            </w:r>
          </w:p>
        </w:tc>
        <w:tc>
          <w:tcPr>
            <w:tcW w:w="0" w:type="auto"/>
            <w:tcBorders>
              <w:top w:val="nil"/>
              <w:left w:val="nil"/>
              <w:bottom w:val="single" w:sz="4" w:space="0" w:color="auto"/>
              <w:right w:val="single" w:sz="4" w:space="0" w:color="auto"/>
            </w:tcBorders>
            <w:shd w:val="clear" w:color="auto" w:fill="auto"/>
            <w:noWrap/>
            <w:vAlign w:val="bottom"/>
            <w:hideMark/>
          </w:tcPr>
          <w:p w14:paraId="6D97426D"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41,75</w:t>
            </w:r>
          </w:p>
        </w:tc>
        <w:tc>
          <w:tcPr>
            <w:tcW w:w="0" w:type="auto"/>
            <w:tcBorders>
              <w:top w:val="nil"/>
              <w:left w:val="nil"/>
              <w:bottom w:val="single" w:sz="4" w:space="0" w:color="auto"/>
              <w:right w:val="single" w:sz="4" w:space="0" w:color="auto"/>
            </w:tcBorders>
            <w:shd w:val="clear" w:color="auto" w:fill="auto"/>
            <w:noWrap/>
            <w:vAlign w:val="bottom"/>
            <w:hideMark/>
          </w:tcPr>
          <w:p w14:paraId="5EDC484E"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44,16</w:t>
            </w:r>
          </w:p>
        </w:tc>
        <w:tc>
          <w:tcPr>
            <w:tcW w:w="0" w:type="auto"/>
            <w:tcBorders>
              <w:top w:val="nil"/>
              <w:left w:val="nil"/>
              <w:bottom w:val="single" w:sz="4" w:space="0" w:color="auto"/>
              <w:right w:val="single" w:sz="4" w:space="0" w:color="auto"/>
            </w:tcBorders>
            <w:shd w:val="clear" w:color="auto" w:fill="auto"/>
            <w:noWrap/>
            <w:vAlign w:val="bottom"/>
            <w:hideMark/>
          </w:tcPr>
          <w:p w14:paraId="43CECA27"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42,58</w:t>
            </w:r>
          </w:p>
        </w:tc>
        <w:tc>
          <w:tcPr>
            <w:tcW w:w="0" w:type="auto"/>
            <w:tcBorders>
              <w:top w:val="nil"/>
              <w:left w:val="nil"/>
              <w:bottom w:val="single" w:sz="4" w:space="0" w:color="auto"/>
              <w:right w:val="single" w:sz="4" w:space="0" w:color="auto"/>
            </w:tcBorders>
            <w:shd w:val="clear" w:color="auto" w:fill="auto"/>
            <w:noWrap/>
            <w:vAlign w:val="bottom"/>
            <w:hideMark/>
          </w:tcPr>
          <w:p w14:paraId="6F2E10A2"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2,95</w:t>
            </w:r>
          </w:p>
        </w:tc>
        <w:tc>
          <w:tcPr>
            <w:tcW w:w="0" w:type="auto"/>
            <w:tcBorders>
              <w:top w:val="nil"/>
              <w:left w:val="nil"/>
              <w:bottom w:val="single" w:sz="4" w:space="0" w:color="auto"/>
              <w:right w:val="single" w:sz="4" w:space="0" w:color="auto"/>
            </w:tcBorders>
            <w:shd w:val="clear" w:color="auto" w:fill="auto"/>
            <w:noWrap/>
            <w:vAlign w:val="bottom"/>
            <w:hideMark/>
          </w:tcPr>
          <w:p w14:paraId="55410838"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3,29</w:t>
            </w:r>
          </w:p>
        </w:tc>
        <w:tc>
          <w:tcPr>
            <w:tcW w:w="0" w:type="auto"/>
            <w:tcBorders>
              <w:top w:val="nil"/>
              <w:left w:val="nil"/>
              <w:bottom w:val="single" w:sz="4" w:space="0" w:color="auto"/>
              <w:right w:val="single" w:sz="4" w:space="0" w:color="auto"/>
            </w:tcBorders>
            <w:shd w:val="clear" w:color="auto" w:fill="auto"/>
            <w:noWrap/>
            <w:vAlign w:val="bottom"/>
            <w:hideMark/>
          </w:tcPr>
          <w:p w14:paraId="3AE51F71"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3,15</w:t>
            </w:r>
          </w:p>
        </w:tc>
        <w:tc>
          <w:tcPr>
            <w:tcW w:w="0" w:type="auto"/>
            <w:tcBorders>
              <w:top w:val="nil"/>
              <w:left w:val="nil"/>
              <w:bottom w:val="single" w:sz="4" w:space="0" w:color="auto"/>
              <w:right w:val="single" w:sz="4" w:space="0" w:color="auto"/>
            </w:tcBorders>
            <w:shd w:val="clear" w:color="auto" w:fill="auto"/>
            <w:noWrap/>
            <w:vAlign w:val="bottom"/>
            <w:hideMark/>
          </w:tcPr>
          <w:p w14:paraId="02F3F664"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0,10</w:t>
            </w:r>
          </w:p>
        </w:tc>
        <w:tc>
          <w:tcPr>
            <w:tcW w:w="0" w:type="auto"/>
            <w:tcBorders>
              <w:top w:val="nil"/>
              <w:left w:val="nil"/>
              <w:bottom w:val="single" w:sz="4" w:space="0" w:color="auto"/>
              <w:right w:val="single" w:sz="4" w:space="0" w:color="auto"/>
            </w:tcBorders>
            <w:shd w:val="clear" w:color="auto" w:fill="auto"/>
            <w:noWrap/>
            <w:vAlign w:val="bottom"/>
            <w:hideMark/>
          </w:tcPr>
          <w:p w14:paraId="6440009D"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0,10</w:t>
            </w:r>
          </w:p>
        </w:tc>
        <w:tc>
          <w:tcPr>
            <w:tcW w:w="0" w:type="auto"/>
            <w:tcBorders>
              <w:top w:val="nil"/>
              <w:left w:val="nil"/>
              <w:bottom w:val="single" w:sz="4" w:space="0" w:color="auto"/>
              <w:right w:val="single" w:sz="4" w:space="0" w:color="auto"/>
            </w:tcBorders>
            <w:shd w:val="clear" w:color="auto" w:fill="auto"/>
            <w:noWrap/>
            <w:vAlign w:val="bottom"/>
            <w:hideMark/>
          </w:tcPr>
          <w:p w14:paraId="06648046"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0,10</w:t>
            </w:r>
          </w:p>
        </w:tc>
      </w:tr>
      <w:tr w:rsidR="00E83953" w:rsidRPr="000C325B" w14:paraId="61DCFF9B" w14:textId="77777777" w:rsidTr="00C25F39">
        <w:trPr>
          <w:trHeight w:val="272"/>
          <w:jc w:val="center"/>
        </w:trPr>
        <w:tc>
          <w:tcPr>
            <w:tcW w:w="0" w:type="auto"/>
            <w:vMerge/>
            <w:tcBorders>
              <w:top w:val="single" w:sz="4" w:space="0" w:color="000000"/>
              <w:bottom w:val="single" w:sz="4" w:space="0" w:color="000000"/>
              <w:right w:val="single" w:sz="4" w:space="0" w:color="auto"/>
            </w:tcBorders>
            <w:vAlign w:val="center"/>
            <w:hideMark/>
          </w:tcPr>
          <w:p w14:paraId="1DFBC53C" w14:textId="77777777" w:rsidR="00E83953" w:rsidRPr="000C325B" w:rsidRDefault="00E83953" w:rsidP="00C25F39">
            <w:pPr>
              <w:spacing w:after="0" w:line="240" w:lineRule="auto"/>
              <w:rPr>
                <w:rFonts w:cstheme="minorHAnsi"/>
                <w:b/>
                <w:bCs/>
                <w:color w:val="000000"/>
              </w:rPr>
            </w:pPr>
          </w:p>
        </w:tc>
        <w:tc>
          <w:tcPr>
            <w:tcW w:w="0" w:type="auto"/>
            <w:tcBorders>
              <w:top w:val="nil"/>
              <w:left w:val="single" w:sz="4" w:space="0" w:color="auto"/>
              <w:bottom w:val="single" w:sz="4" w:space="0" w:color="auto"/>
              <w:right w:val="single" w:sz="4" w:space="0" w:color="auto"/>
            </w:tcBorders>
            <w:shd w:val="clear" w:color="auto" w:fill="auto"/>
            <w:vAlign w:val="bottom"/>
            <w:hideMark/>
          </w:tcPr>
          <w:p w14:paraId="5ECA615E"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 xml:space="preserve">pod sotočjem </w:t>
            </w:r>
          </w:p>
          <w:p w14:paraId="1506336F"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90 m</w:t>
            </w:r>
            <w:r w:rsidRPr="000C325B">
              <w:rPr>
                <w:rFonts w:asciiTheme="minorHAnsi" w:hAnsiTheme="minorHAnsi" w:cstheme="minorHAnsi"/>
                <w:sz w:val="22"/>
                <w:szCs w:val="22"/>
                <w:vertAlign w:val="superscript"/>
                <w:lang w:val="sl-SI"/>
              </w:rPr>
              <w:t>3</w:t>
            </w:r>
            <w:r w:rsidRPr="000C325B">
              <w:rPr>
                <w:rFonts w:asciiTheme="minorHAnsi" w:hAnsiTheme="minorHAnsi" w:cstheme="minorHAnsi"/>
                <w:sz w:val="22"/>
                <w:szCs w:val="22"/>
                <w:lang w:val="sl-SI"/>
              </w:rPr>
              <w:t>/s</w:t>
            </w:r>
          </w:p>
        </w:tc>
        <w:tc>
          <w:tcPr>
            <w:tcW w:w="0" w:type="auto"/>
            <w:tcBorders>
              <w:top w:val="nil"/>
              <w:left w:val="nil"/>
              <w:bottom w:val="single" w:sz="4" w:space="0" w:color="auto"/>
              <w:right w:val="single" w:sz="4" w:space="0" w:color="auto"/>
            </w:tcBorders>
            <w:shd w:val="clear" w:color="auto" w:fill="auto"/>
            <w:noWrap/>
            <w:vAlign w:val="bottom"/>
            <w:hideMark/>
          </w:tcPr>
          <w:p w14:paraId="29EFEC76"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41,73</w:t>
            </w:r>
          </w:p>
        </w:tc>
        <w:tc>
          <w:tcPr>
            <w:tcW w:w="0" w:type="auto"/>
            <w:tcBorders>
              <w:top w:val="nil"/>
              <w:left w:val="nil"/>
              <w:bottom w:val="single" w:sz="4" w:space="0" w:color="auto"/>
              <w:right w:val="single" w:sz="4" w:space="0" w:color="auto"/>
            </w:tcBorders>
            <w:shd w:val="clear" w:color="auto" w:fill="auto"/>
            <w:noWrap/>
            <w:vAlign w:val="bottom"/>
            <w:hideMark/>
          </w:tcPr>
          <w:p w14:paraId="744F3B1D"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43,98</w:t>
            </w:r>
          </w:p>
        </w:tc>
        <w:tc>
          <w:tcPr>
            <w:tcW w:w="0" w:type="auto"/>
            <w:tcBorders>
              <w:top w:val="nil"/>
              <w:left w:val="nil"/>
              <w:bottom w:val="single" w:sz="4" w:space="0" w:color="auto"/>
              <w:right w:val="single" w:sz="4" w:space="0" w:color="auto"/>
            </w:tcBorders>
            <w:shd w:val="clear" w:color="auto" w:fill="auto"/>
            <w:noWrap/>
            <w:vAlign w:val="bottom"/>
            <w:hideMark/>
          </w:tcPr>
          <w:p w14:paraId="1E9BB5FB"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42,50</w:t>
            </w:r>
          </w:p>
        </w:tc>
        <w:tc>
          <w:tcPr>
            <w:tcW w:w="0" w:type="auto"/>
            <w:tcBorders>
              <w:top w:val="nil"/>
              <w:left w:val="nil"/>
              <w:bottom w:val="single" w:sz="4" w:space="0" w:color="auto"/>
              <w:right w:val="single" w:sz="4" w:space="0" w:color="auto"/>
            </w:tcBorders>
            <w:shd w:val="clear" w:color="auto" w:fill="auto"/>
            <w:noWrap/>
            <w:vAlign w:val="bottom"/>
            <w:hideMark/>
          </w:tcPr>
          <w:p w14:paraId="56A12E22"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2,86</w:t>
            </w:r>
          </w:p>
        </w:tc>
        <w:tc>
          <w:tcPr>
            <w:tcW w:w="0" w:type="auto"/>
            <w:tcBorders>
              <w:top w:val="nil"/>
              <w:left w:val="nil"/>
              <w:bottom w:val="single" w:sz="4" w:space="0" w:color="auto"/>
              <w:right w:val="single" w:sz="4" w:space="0" w:color="auto"/>
            </w:tcBorders>
            <w:shd w:val="clear" w:color="auto" w:fill="auto"/>
            <w:noWrap/>
            <w:vAlign w:val="bottom"/>
            <w:hideMark/>
          </w:tcPr>
          <w:p w14:paraId="0073A0ED"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3,25</w:t>
            </w:r>
          </w:p>
        </w:tc>
        <w:tc>
          <w:tcPr>
            <w:tcW w:w="0" w:type="auto"/>
            <w:tcBorders>
              <w:top w:val="nil"/>
              <w:left w:val="nil"/>
              <w:bottom w:val="single" w:sz="4" w:space="0" w:color="auto"/>
              <w:right w:val="single" w:sz="4" w:space="0" w:color="auto"/>
            </w:tcBorders>
            <w:shd w:val="clear" w:color="auto" w:fill="auto"/>
            <w:noWrap/>
            <w:vAlign w:val="bottom"/>
            <w:hideMark/>
          </w:tcPr>
          <w:p w14:paraId="6EF15E04"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3,11</w:t>
            </w:r>
          </w:p>
        </w:tc>
        <w:tc>
          <w:tcPr>
            <w:tcW w:w="0" w:type="auto"/>
            <w:tcBorders>
              <w:top w:val="nil"/>
              <w:left w:val="nil"/>
              <w:bottom w:val="single" w:sz="4" w:space="0" w:color="auto"/>
              <w:right w:val="single" w:sz="4" w:space="0" w:color="auto"/>
            </w:tcBorders>
            <w:shd w:val="clear" w:color="auto" w:fill="auto"/>
            <w:noWrap/>
            <w:vAlign w:val="bottom"/>
            <w:hideMark/>
          </w:tcPr>
          <w:p w14:paraId="3CB0A8F4"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0,90</w:t>
            </w:r>
          </w:p>
        </w:tc>
        <w:tc>
          <w:tcPr>
            <w:tcW w:w="0" w:type="auto"/>
            <w:tcBorders>
              <w:top w:val="nil"/>
              <w:left w:val="nil"/>
              <w:bottom w:val="single" w:sz="4" w:space="0" w:color="auto"/>
              <w:right w:val="single" w:sz="4" w:space="0" w:color="auto"/>
            </w:tcBorders>
            <w:shd w:val="clear" w:color="auto" w:fill="auto"/>
            <w:noWrap/>
            <w:vAlign w:val="bottom"/>
            <w:hideMark/>
          </w:tcPr>
          <w:p w14:paraId="604E746D" w14:textId="77777777" w:rsidR="00E83953" w:rsidRPr="000C325B" w:rsidRDefault="00E83953" w:rsidP="00C25F39">
            <w:pPr>
              <w:pStyle w:val="SC-Table"/>
              <w:rPr>
                <w:rFonts w:asciiTheme="minorHAnsi" w:hAnsiTheme="minorHAnsi" w:cstheme="minorHAnsi"/>
                <w:sz w:val="22"/>
                <w:szCs w:val="22"/>
                <w:lang w:val="sl-SI"/>
              </w:rPr>
            </w:pPr>
            <w:r w:rsidRPr="000C325B">
              <w:rPr>
                <w:rFonts w:asciiTheme="minorHAnsi" w:hAnsiTheme="minorHAnsi" w:cstheme="minorHAnsi"/>
                <w:sz w:val="22"/>
                <w:szCs w:val="22"/>
                <w:lang w:val="sl-SI"/>
              </w:rPr>
              <w:t>0,93</w:t>
            </w:r>
          </w:p>
        </w:tc>
        <w:tc>
          <w:tcPr>
            <w:tcW w:w="0" w:type="auto"/>
            <w:tcBorders>
              <w:top w:val="nil"/>
              <w:left w:val="nil"/>
              <w:bottom w:val="single" w:sz="4" w:space="0" w:color="auto"/>
              <w:right w:val="single" w:sz="4" w:space="0" w:color="auto"/>
            </w:tcBorders>
            <w:shd w:val="clear" w:color="auto" w:fill="auto"/>
            <w:noWrap/>
            <w:vAlign w:val="bottom"/>
            <w:hideMark/>
          </w:tcPr>
          <w:p w14:paraId="3CD566FE" w14:textId="77777777" w:rsidR="00E83953" w:rsidRPr="000C325B" w:rsidRDefault="00E83953" w:rsidP="00C25F39">
            <w:pPr>
              <w:pStyle w:val="SC-Table"/>
              <w:rPr>
                <w:rFonts w:asciiTheme="minorHAnsi" w:hAnsiTheme="minorHAnsi" w:cstheme="minorHAnsi"/>
                <w:sz w:val="22"/>
                <w:szCs w:val="22"/>
                <w:highlight w:val="lightGray"/>
                <w:lang w:val="sl-SI"/>
              </w:rPr>
            </w:pPr>
            <w:r w:rsidRPr="000C325B">
              <w:rPr>
                <w:rFonts w:asciiTheme="minorHAnsi" w:hAnsiTheme="minorHAnsi" w:cstheme="minorHAnsi"/>
                <w:sz w:val="22"/>
                <w:szCs w:val="22"/>
                <w:highlight w:val="lightGray"/>
                <w:lang w:val="sl-SI"/>
              </w:rPr>
              <w:t>0,92</w:t>
            </w:r>
          </w:p>
        </w:tc>
      </w:tr>
    </w:tbl>
    <w:p w14:paraId="7646B545" w14:textId="77777777" w:rsidR="00E83953" w:rsidRDefault="00E83953" w:rsidP="00E83953">
      <w:pPr>
        <w:pStyle w:val="Naslov1"/>
      </w:pPr>
    </w:p>
    <w:p w14:paraId="11A521B6" w14:textId="77777777" w:rsidR="00E83953" w:rsidRDefault="00E83953" w:rsidP="00E83953">
      <w:pPr>
        <w:pStyle w:val="Naslov1"/>
      </w:pPr>
      <w:r>
        <w:t>Energetika</w:t>
      </w:r>
    </w:p>
    <w:p w14:paraId="070B1086" w14:textId="4DD98ABA" w:rsidR="00E83953" w:rsidRDefault="00E83953" w:rsidP="00E83953">
      <w:r>
        <w:t xml:space="preserve">Energetska izraba Ljubljanice je </w:t>
      </w:r>
      <w:r w:rsidR="00A528DC">
        <w:t xml:space="preserve">po izdelani Študiji energetske izrabe na lokaciji pregrad </w:t>
      </w:r>
      <w:r>
        <w:t xml:space="preserve">predvidena na </w:t>
      </w:r>
      <w:r w:rsidR="00A528DC">
        <w:t>dveh</w:t>
      </w:r>
      <w:r>
        <w:t xml:space="preserve"> lokacijah</w:t>
      </w:r>
      <w:r w:rsidR="00A528DC">
        <w:t xml:space="preserve">, v Grubarjevem prekopu in za </w:t>
      </w:r>
      <w:r w:rsidR="00DA5F02">
        <w:t>S</w:t>
      </w:r>
      <w:r w:rsidR="00A528DC">
        <w:t xml:space="preserve">otočjem. </w:t>
      </w:r>
    </w:p>
    <w:p w14:paraId="4E858A25" w14:textId="2DABEF7E" w:rsidR="00E83953" w:rsidRDefault="00E83953" w:rsidP="00E83953">
      <w:pPr>
        <w:jc w:val="both"/>
      </w:pPr>
      <w:r w:rsidRPr="003C1265">
        <w:rPr>
          <w:b/>
          <w:bCs/>
        </w:rPr>
        <w:lastRenderedPageBreak/>
        <w:t>V profilu obstoječe Plečnikove zapornice</w:t>
      </w:r>
      <w:r w:rsidR="00AC6701">
        <w:rPr>
          <w:b/>
          <w:bCs/>
        </w:rPr>
        <w:t xml:space="preserve"> na Ambroževem trgu</w:t>
      </w:r>
      <w:r>
        <w:t xml:space="preserve"> (lokacija ML) </w:t>
      </w:r>
      <w:r w:rsidR="0057750E">
        <w:t>ni predvidene MHE.</w:t>
      </w:r>
    </w:p>
    <w:p w14:paraId="74118062" w14:textId="44CE3203" w:rsidR="00E83953" w:rsidRDefault="00E83953" w:rsidP="00E83953">
      <w:pPr>
        <w:jc w:val="both"/>
      </w:pPr>
      <w:r w:rsidRPr="003C1265">
        <w:rPr>
          <w:b/>
          <w:bCs/>
        </w:rPr>
        <w:t>Na Gruberjevem prekopu</w:t>
      </w:r>
      <w:r>
        <w:t xml:space="preserve"> se 300 m dolvodno od obstoječe zapornice zgradi nov večnamenski objekt, ki vključuje tudi MHE s t.im. </w:t>
      </w:r>
      <w:r w:rsidRPr="003C1265">
        <w:rPr>
          <w:i/>
          <w:iCs/>
        </w:rPr>
        <w:t>gibljivo strojnico</w:t>
      </w:r>
      <w:r>
        <w:rPr>
          <w:i/>
          <w:iCs/>
        </w:rPr>
        <w:t xml:space="preserve">, </w:t>
      </w:r>
      <w:r>
        <w:t>v kateri je nameščena Kaplanova turbina z generatorjem v hruški ter nazivnim pretokom 2</w:t>
      </w:r>
      <w:r w:rsidR="00406ECD">
        <w:t>5</w:t>
      </w:r>
      <w:r>
        <w:t xml:space="preserve"> m</w:t>
      </w:r>
      <w:r w:rsidRPr="008F6D60">
        <w:rPr>
          <w:vertAlign w:val="superscript"/>
        </w:rPr>
        <w:t>3</w:t>
      </w:r>
      <w:r>
        <w:t>/s. Nominalni padec znaša 2,31</w:t>
      </w:r>
      <w:r w:rsidR="00406ECD">
        <w:t xml:space="preserve"> </w:t>
      </w:r>
      <w:r>
        <w:t xml:space="preserve">m, najmanjši izkoristljiv </w:t>
      </w:r>
      <w:r w:rsidRPr="00E56F86">
        <w:t xml:space="preserve">pa 1,5 </w:t>
      </w:r>
      <w:r>
        <w:t>m. Moč agregata je 4</w:t>
      </w:r>
      <w:r w:rsidR="00207343">
        <w:t>39</w:t>
      </w:r>
      <w:r>
        <w:t xml:space="preserve"> kW in srednja letna proizvodnja </w:t>
      </w:r>
      <w:r w:rsidR="00406ECD">
        <w:t>2,533</w:t>
      </w:r>
      <w:r>
        <w:t xml:space="preserve"> GWh.</w:t>
      </w:r>
      <w:r w:rsidR="00207343">
        <w:t xml:space="preserve"> (upoštevan Kzv=286,00)</w:t>
      </w:r>
      <w:r w:rsidR="00DA5F02">
        <w:t>.</w:t>
      </w:r>
    </w:p>
    <w:p w14:paraId="5E7732B9" w14:textId="356182FE" w:rsidR="00E83953" w:rsidRDefault="00E83953" w:rsidP="00E83953">
      <w:pPr>
        <w:jc w:val="both"/>
      </w:pPr>
      <w:r w:rsidRPr="00960BC8">
        <w:rPr>
          <w:b/>
          <w:bCs/>
        </w:rPr>
        <w:t>Pod sotočjem mestne Ljubljanice in Gruberjevega prekopa</w:t>
      </w:r>
      <w:r>
        <w:t xml:space="preserve"> se v profilu 50 m gorvodno od obstoječe brvi za pešce izvede novo jezovno zgradbo, ki vključuje tudi dve gibljivi strojnici s Kaplanovima agregatoma in generatorjema v hruški in skupnim nazivnim pretokom 39,2 m</w:t>
      </w:r>
      <w:r w:rsidRPr="008F6D60">
        <w:rPr>
          <w:vertAlign w:val="superscript"/>
        </w:rPr>
        <w:t>3</w:t>
      </w:r>
      <w:r>
        <w:t>/s. Nazivni padec znaša 2,07 m, skupna največja moč obeh turbin</w:t>
      </w:r>
      <w:r w:rsidR="00A70A01">
        <w:t xml:space="preserve"> 569</w:t>
      </w:r>
      <w:r>
        <w:t xml:space="preserve"> kW (2 x 3</w:t>
      </w:r>
      <w:r w:rsidR="00A70A01">
        <w:t>25</w:t>
      </w:r>
      <w:r>
        <w:t xml:space="preserve"> kW) in srednja letna proizvodnja 3,056 GWh.</w:t>
      </w:r>
    </w:p>
    <w:p w14:paraId="044AB94A" w14:textId="249C154B" w:rsidR="00604FE9" w:rsidRPr="003C1265" w:rsidRDefault="00604FE9" w:rsidP="00E83953">
      <w:pPr>
        <w:jc w:val="both"/>
      </w:pPr>
      <w:r>
        <w:t xml:space="preserve">Tehnični parametri MHE so obdelani v strokovni podlagi </w:t>
      </w:r>
      <w:r w:rsidRPr="00A474CC">
        <w:rPr>
          <w:b/>
          <w:bCs/>
        </w:rPr>
        <w:t xml:space="preserve">Energetska izraba na lokaciji pregrad. </w:t>
      </w:r>
      <w:r>
        <w:t>Predlagane rešitve iz izdelane strokovne podlage je potrebno upoštevati pri umeščanju in dimenzioniranju plovne infrastrukture</w:t>
      </w:r>
      <w:r w:rsidR="00A474CC">
        <w:t xml:space="preserve"> na lokacijah v Grubarjevem prekopu in na Sotočju. </w:t>
      </w:r>
    </w:p>
    <w:p w14:paraId="1DE1DE9E" w14:textId="77777777" w:rsidR="00E83953" w:rsidRDefault="00E83953" w:rsidP="00E83953">
      <w:pPr>
        <w:pStyle w:val="Naslov1"/>
      </w:pPr>
      <w:r>
        <w:t>Okoljski ukrepi</w:t>
      </w:r>
    </w:p>
    <w:p w14:paraId="7D260D17" w14:textId="78EB254F" w:rsidR="00E83953" w:rsidRDefault="00E83953" w:rsidP="00E83953">
      <w:pPr>
        <w:jc w:val="both"/>
      </w:pPr>
      <w:r>
        <w:t>Izbrana varianta energetske izrabe predvideva obratovalno gladino Ljubljanice 286,00 (opcijsko 286,</w:t>
      </w:r>
      <w:r w:rsidR="000217C3">
        <w:t>3</w:t>
      </w:r>
      <w:r>
        <w:t>0</w:t>
      </w:r>
      <w:r w:rsidR="000217C3">
        <w:t xml:space="preserve"> in 286,7</w:t>
      </w:r>
      <w:r w:rsidR="00DA5F02">
        <w:t>0</w:t>
      </w:r>
      <w:r>
        <w:t xml:space="preserve"> v kasnejši fazi) na obeh gorvodnih zapornicah, kar sočasno pomeni dodatno ekološko funkcijo, saj se s tem ohranja boljša in trajna omočenost barja na daljšem odseku. Ta gladina je nekoliko višja od sedanje konzervativne prakse, ko se obratuje okrog kote 285,60 m n.m.</w:t>
      </w:r>
    </w:p>
    <w:p w14:paraId="37D12650" w14:textId="70033C23" w:rsidR="00E83953" w:rsidRDefault="00E83953" w:rsidP="00E83953">
      <w:pPr>
        <w:jc w:val="both"/>
      </w:pPr>
      <w:r w:rsidRPr="00642D4D">
        <w:t xml:space="preserve">Zapornica na Gruberjevem prekopu ni prehodna za ribe, na Ambroževem trgu pa </w:t>
      </w:r>
      <w:r>
        <w:t xml:space="preserve">je </w:t>
      </w:r>
      <w:r w:rsidRPr="00642D4D">
        <w:t xml:space="preserve">prehodnost </w:t>
      </w:r>
      <w:r>
        <w:t>zelo omejena oz. ni dokazana.</w:t>
      </w:r>
      <w:r w:rsidRPr="00642D4D">
        <w:t xml:space="preserve"> Ob izvedbi predvidenih posegov so </w:t>
      </w:r>
      <w:r>
        <w:t xml:space="preserve">zato </w:t>
      </w:r>
      <w:r w:rsidRPr="00642D4D">
        <w:t>predlaga</w:t>
      </w:r>
      <w:r>
        <w:t>ni</w:t>
      </w:r>
      <w:r w:rsidRPr="00642D4D">
        <w:t xml:space="preserve"> omilitven</w:t>
      </w:r>
      <w:r>
        <w:t>i</w:t>
      </w:r>
      <w:r w:rsidRPr="00642D4D">
        <w:t xml:space="preserve"> ukrep</w:t>
      </w:r>
      <w:r>
        <w:t>i</w:t>
      </w:r>
      <w:r w:rsidRPr="00642D4D">
        <w:t>, kot so ureditev prehodov za ribe, ukrep</w:t>
      </w:r>
      <w:r>
        <w:t>i</w:t>
      </w:r>
      <w:r w:rsidRPr="00642D4D">
        <w:t xml:space="preserve"> za vzpodbujanje gorvodnega in dolvodnega ter prečnega prehajanja </w:t>
      </w:r>
      <w:r>
        <w:t>rib</w:t>
      </w:r>
      <w:r w:rsidRPr="00642D4D">
        <w:t>, zasaditev tipične obrežne vegetacije in obogatitev vegetacije na obrežnem pasu, ki bo predstavljala tudi zaščito pred erozijo. Takšna ureditev zagotavlja habitat za različne razvojne stopnje in velikosti ter vrste rib, dopušča nihanje vode zaradi energetske izrabe in je hkrati prilagojena naravnemu sezonskemu pretočnemu režimu s spremenljivimi hitrostmi toka, pretoki in vodnimi količinami.</w:t>
      </w:r>
    </w:p>
    <w:p w14:paraId="59A4F303" w14:textId="1E211CAE" w:rsidR="00A474CC" w:rsidRPr="003C1265" w:rsidRDefault="00A474CC" w:rsidP="00A474CC">
      <w:pPr>
        <w:jc w:val="both"/>
      </w:pPr>
      <w:r>
        <w:t xml:space="preserve">Tehnični parametri prehodov za ribe so obdelani v strokovni podlagi </w:t>
      </w:r>
      <w:r w:rsidRPr="00A474CC">
        <w:rPr>
          <w:rFonts w:ascii="TrebuchetMS,Bold" w:hAnsi="TrebuchetMS,Bold" w:cs="TrebuchetMS,Bold"/>
          <w:b/>
          <w:bCs/>
          <w:color w:val="6D6E70"/>
          <w:kern w:val="0"/>
          <w14:ligatures w14:val="none"/>
        </w:rPr>
        <w:t>Zasnova prehodov za ribe ob pregradah</w:t>
      </w:r>
      <w:r>
        <w:t>. Predlagane rešitve iz izdelane strokovne podlage je potrebno upoštevati pri umeščanju in dimenzioniranju plovne infrastrukture na lokacijah Plečnikove zapornice</w:t>
      </w:r>
      <w:r w:rsidR="000217C3">
        <w:t xml:space="preserve"> na Ambroževem trgu</w:t>
      </w:r>
      <w:r>
        <w:t xml:space="preserve">, v </w:t>
      </w:r>
      <w:r w:rsidR="003D5860">
        <w:t xml:space="preserve">Gruberjevem </w:t>
      </w:r>
      <w:r>
        <w:t xml:space="preserve">prekopu in na Sotočju. </w:t>
      </w:r>
    </w:p>
    <w:p w14:paraId="096A9A0F" w14:textId="77777777" w:rsidR="00A474CC" w:rsidRDefault="00A474CC" w:rsidP="00E83953">
      <w:pPr>
        <w:jc w:val="both"/>
      </w:pPr>
    </w:p>
    <w:p w14:paraId="6DB7A7BF" w14:textId="77777777" w:rsidR="00E83953" w:rsidRDefault="00E83953" w:rsidP="00E83953">
      <w:pPr>
        <w:pStyle w:val="Naslov1"/>
      </w:pPr>
      <w:r>
        <w:t>Vsebina projektne naloge in območje obdelave</w:t>
      </w:r>
    </w:p>
    <w:p w14:paraId="39AB3EAD" w14:textId="433965E3" w:rsidR="00E83953" w:rsidRDefault="00E83953" w:rsidP="00DA5F02">
      <w:pPr>
        <w:jc w:val="both"/>
      </w:pPr>
      <w:r w:rsidRPr="00213033">
        <w:t xml:space="preserve">V postopku priprave in sprejetja </w:t>
      </w:r>
      <w:r>
        <w:t xml:space="preserve">OPPN je potrebno izdelati </w:t>
      </w:r>
      <w:r w:rsidR="00906837">
        <w:t>IZP, ki bo v nadaljevanju tudi podlaga za zaključek Hidrološko hidravlične študije Ljubljanice. Zato bo v obsegu izdelave IZP potrebno izdelati podrobno geometrijo novega stanja objektov v strugi</w:t>
      </w:r>
      <w:r w:rsidR="00CE3614">
        <w:t>,</w:t>
      </w:r>
      <w:r w:rsidR="00906837">
        <w:t xml:space="preserve"> vključno s predvidenim režimom obratovanja pregrad, splavnic, ribjih stez in MHE.</w:t>
      </w:r>
    </w:p>
    <w:p w14:paraId="79904916" w14:textId="6C867AE5" w:rsidR="00E83953" w:rsidRDefault="00E83953" w:rsidP="00E83953">
      <w:pPr>
        <w:jc w:val="both"/>
      </w:pPr>
      <w:r>
        <w:t xml:space="preserve">Ob tem je bistveno, da gorvodno od zapornic v Ljubljanici (t.j. od Ambroževega trga) in v Gruberjevem prekopu (kjer se bo zapornica prestavila cca 300 m v dolvodni smeri) ni predvidene spremembe visokovodnega režima. Zaradi posodobljenih zapornic na Plečnikovem jezu in novih v Gruberjevem kanalu bo obratovanje sistema avtomatizirano in bolj fleksibilno kot pred izvedbo projekta. Avtomatizacija delovanja zapornic bo, v normalnih hidroloških razmerah, zagotavljala konstantni nivo vodne gladine Ljubljanice. Prav tako ne bo sprememb obsega poplave na dolvodnih krakih Ljubljanice in Gruberjevega pretoka, kar bo zagotovljeno s sodobnim objektom </w:t>
      </w:r>
      <w:r w:rsidR="000217C3">
        <w:t>za sotočjem</w:t>
      </w:r>
      <w:r>
        <w:t>.</w:t>
      </w:r>
    </w:p>
    <w:p w14:paraId="2F50D3D1" w14:textId="77777777" w:rsidR="00E83953" w:rsidRPr="00900D9C" w:rsidRDefault="00E83953" w:rsidP="00E83953">
      <w:pPr>
        <w:pStyle w:val="Naslov1"/>
      </w:pPr>
      <w:r>
        <w:lastRenderedPageBreak/>
        <w:t>Obseg dela</w:t>
      </w:r>
    </w:p>
    <w:p w14:paraId="4CCC2F6E" w14:textId="38B34BDA" w:rsidR="00BE50D4" w:rsidRDefault="00EF2967" w:rsidP="00E83953">
      <w:pPr>
        <w:jc w:val="both"/>
      </w:pPr>
      <w:r>
        <w:t>Idejna zasnova projekta</w:t>
      </w:r>
      <w:r w:rsidR="00E83953">
        <w:t xml:space="preserve"> </w:t>
      </w:r>
      <w:r>
        <w:t>mora biti izdelana v obsegu prikaza tehnične in funkcionalne rešitve objektov plovne, energetske in okoljske infrastrukture</w:t>
      </w:r>
      <w:r w:rsidR="008B0DE2">
        <w:t xml:space="preserve"> (prehodi za ribe na pregradah)</w:t>
      </w:r>
      <w:r w:rsidR="00E20583">
        <w:t>:</w:t>
      </w:r>
    </w:p>
    <w:p w14:paraId="3C7032C4" w14:textId="6985CB11" w:rsidR="00BE50D4" w:rsidRPr="0090182C" w:rsidRDefault="00BE50D4" w:rsidP="0090182C">
      <w:pPr>
        <w:jc w:val="both"/>
        <w:rPr>
          <w:b/>
          <w:bCs/>
        </w:rPr>
      </w:pPr>
      <w:r w:rsidRPr="0090182C">
        <w:rPr>
          <w:b/>
          <w:bCs/>
        </w:rPr>
        <w:t>AMBROŽEV TRG</w:t>
      </w:r>
    </w:p>
    <w:p w14:paraId="07C6155F" w14:textId="7E25989A" w:rsidR="00156C80" w:rsidRDefault="00DA3B87" w:rsidP="0090182C">
      <w:pPr>
        <w:pStyle w:val="Odstavekseznama"/>
        <w:numPr>
          <w:ilvl w:val="0"/>
          <w:numId w:val="1"/>
        </w:numPr>
        <w:ind w:left="284" w:hanging="142"/>
        <w:jc w:val="both"/>
      </w:pPr>
      <w:r>
        <w:t>Izdelava t</w:t>
      </w:r>
      <w:r w:rsidR="00E20583">
        <w:t>ehničn</w:t>
      </w:r>
      <w:r>
        <w:t>e</w:t>
      </w:r>
      <w:r w:rsidR="00E20583">
        <w:t xml:space="preserve"> rešitv</w:t>
      </w:r>
      <w:r>
        <w:t>e</w:t>
      </w:r>
      <w:r w:rsidR="00E20583">
        <w:t xml:space="preserve"> splavnice na lokaciji ob Plečnikovi zapornici</w:t>
      </w:r>
      <w:r w:rsidR="00CE3614">
        <w:t>,</w:t>
      </w:r>
      <w:r w:rsidR="00E20583">
        <w:t xml:space="preserve"> vključno z režim</w:t>
      </w:r>
      <w:r w:rsidR="008B0DE2">
        <w:t>om</w:t>
      </w:r>
      <w:r w:rsidR="00E20583">
        <w:t xml:space="preserve"> obratovanja splavnice. Pri izdelavi tehnične rešitve je potrebno upoštevati že izdelano IZP Splavnica Ambrožev trg, načrt arhitekture, </w:t>
      </w:r>
      <w:r w:rsidR="00156C80">
        <w:t>št. projekta 2023-198, verzija 2, Marec 2024, SCAPELAB d.o.o., ki postavlja robne pogoje umeščanja v prostor s stališča sprejemljivosti presoje HIA.</w:t>
      </w:r>
      <w:r w:rsidR="0006665E">
        <w:t xml:space="preserve"> Rešitev SCAPELAB je vključevala tudi MHE, ki je v sedaj predlagani izvedbi ni.</w:t>
      </w:r>
      <w:r w:rsidR="009B292B">
        <w:t xml:space="preserve"> Sodelovanje SCAPELAB pri novelaciji rešitve zagotovi naročnik.</w:t>
      </w:r>
    </w:p>
    <w:p w14:paraId="11B81355" w14:textId="035C3E11" w:rsidR="00BE50D4" w:rsidRDefault="00BE50D4" w:rsidP="0090182C">
      <w:pPr>
        <w:pStyle w:val="Odstavekseznama"/>
        <w:numPr>
          <w:ilvl w:val="0"/>
          <w:numId w:val="1"/>
        </w:numPr>
        <w:ind w:left="284" w:hanging="142"/>
        <w:jc w:val="both"/>
      </w:pPr>
      <w:r>
        <w:t xml:space="preserve">Obstoječa hidromehanska oprema Plečnikove zapornice je dotrajana in predvidena za zamenjavo. Investitor zamenjave je Direkcija RS za vode. Investicija je po dostopnih podatkih v fazi izdelave projektne rešitve. Obratovanje splavnice in zapornice bosta obratovalno povezani, </w:t>
      </w:r>
      <w:r w:rsidR="00DA3B87">
        <w:t>kar bo</w:t>
      </w:r>
      <w:r>
        <w:t xml:space="preserve"> potrebno upoštevati</w:t>
      </w:r>
      <w:r w:rsidR="00DA3B87">
        <w:t xml:space="preserve"> pri izdelavi obratovalnega režima splavnice. </w:t>
      </w:r>
    </w:p>
    <w:p w14:paraId="1F4752C3" w14:textId="11C59E1D" w:rsidR="00BE50D4" w:rsidRDefault="00156C80" w:rsidP="0090182C">
      <w:pPr>
        <w:pStyle w:val="Odstavekseznama"/>
        <w:numPr>
          <w:ilvl w:val="0"/>
          <w:numId w:val="1"/>
        </w:numPr>
        <w:ind w:left="284" w:hanging="142"/>
        <w:jc w:val="both"/>
      </w:pPr>
      <w:r>
        <w:t>Vključitev prehoda za ribe v celostno rešitev lokacij</w:t>
      </w:r>
      <w:r w:rsidR="007E4908">
        <w:t xml:space="preserve">e </w:t>
      </w:r>
      <w:r>
        <w:t>na Ambroževem trgu iz že izdelane strokovne podlage Zasnova prehodov za ribe ob pregradah, št. HPLJ</w:t>
      </w:r>
      <w:r w:rsidR="007E4908">
        <w:t>-B040/084, maj 2025, IBE, d.d.</w:t>
      </w:r>
    </w:p>
    <w:p w14:paraId="2AF4FF08" w14:textId="7CED7BE4" w:rsidR="00DA3B87" w:rsidRDefault="0006665E" w:rsidP="0090182C">
      <w:pPr>
        <w:pStyle w:val="Odstavekseznama"/>
        <w:numPr>
          <w:ilvl w:val="0"/>
          <w:numId w:val="1"/>
        </w:numPr>
        <w:ind w:left="284" w:hanging="142"/>
        <w:jc w:val="both"/>
      </w:pPr>
      <w:r>
        <w:t>Zaradi ugotavljanja osnovnih razmer za plovbo in obratovanje ribje steze je potrebno osnovno 2D modeliranje natoka nad jezom in pod jezom za vsaj dva merodajna pretoka Ljubljanice</w:t>
      </w:r>
      <w:r w:rsidR="00E40A1D">
        <w:t xml:space="preserve"> in značilno obratovanje splavnice</w:t>
      </w:r>
      <w:r>
        <w:t>.</w:t>
      </w:r>
    </w:p>
    <w:p w14:paraId="27C0BA25" w14:textId="77777777" w:rsidR="0090182C" w:rsidRDefault="0090182C" w:rsidP="0090182C">
      <w:pPr>
        <w:pStyle w:val="Odstavekseznama"/>
        <w:jc w:val="both"/>
      </w:pPr>
    </w:p>
    <w:p w14:paraId="6BA90FD0" w14:textId="654F6D4A" w:rsidR="00BE50D4" w:rsidRPr="0090182C" w:rsidRDefault="00C03BA8" w:rsidP="0090182C">
      <w:pPr>
        <w:jc w:val="both"/>
        <w:rPr>
          <w:b/>
          <w:bCs/>
        </w:rPr>
      </w:pPr>
      <w:r w:rsidRPr="0090182C">
        <w:rPr>
          <w:b/>
          <w:bCs/>
        </w:rPr>
        <w:t xml:space="preserve">GRUBERJEV </w:t>
      </w:r>
      <w:r w:rsidR="00BE50D4" w:rsidRPr="0090182C">
        <w:rPr>
          <w:b/>
          <w:bCs/>
        </w:rPr>
        <w:t>PREKOP</w:t>
      </w:r>
    </w:p>
    <w:p w14:paraId="3FAC343B" w14:textId="04C5B7DE" w:rsidR="007E4908" w:rsidRDefault="00DA3B87" w:rsidP="0090182C">
      <w:pPr>
        <w:pStyle w:val="Odstavekseznama"/>
        <w:numPr>
          <w:ilvl w:val="0"/>
          <w:numId w:val="1"/>
        </w:numPr>
        <w:ind w:left="284" w:hanging="142"/>
        <w:jc w:val="both"/>
      </w:pPr>
      <w:r>
        <w:t>Izdelava t</w:t>
      </w:r>
      <w:r w:rsidR="007E4908">
        <w:t>ehničn</w:t>
      </w:r>
      <w:r>
        <w:t>e</w:t>
      </w:r>
      <w:r w:rsidR="007E4908">
        <w:t xml:space="preserve"> </w:t>
      </w:r>
      <w:r w:rsidR="009B292B">
        <w:t xml:space="preserve">in prostorske </w:t>
      </w:r>
      <w:r w:rsidR="007E4908">
        <w:t>rešit</w:t>
      </w:r>
      <w:r>
        <w:t>ve</w:t>
      </w:r>
      <w:r w:rsidR="007E4908">
        <w:t xml:space="preserve"> </w:t>
      </w:r>
      <w:r w:rsidR="00BE50D4">
        <w:t xml:space="preserve">nove zajezitve v </w:t>
      </w:r>
      <w:r w:rsidR="008B0DE2">
        <w:t xml:space="preserve">Gruberjevem </w:t>
      </w:r>
      <w:r w:rsidR="00BE50D4">
        <w:t xml:space="preserve">prekopu, vključno </w:t>
      </w:r>
      <w:r>
        <w:t>s splavnico,</w:t>
      </w:r>
      <w:r w:rsidR="00BE50D4">
        <w:t xml:space="preserve"> režim</w:t>
      </w:r>
      <w:r>
        <w:t>om</w:t>
      </w:r>
      <w:r w:rsidR="00BE50D4">
        <w:t xml:space="preserve"> obratovanja </w:t>
      </w:r>
      <w:r w:rsidR="007E4908">
        <w:t>splavnice</w:t>
      </w:r>
      <w:r>
        <w:t xml:space="preserve"> in malo hidroelektrarno s parametri iz že izdelane študije energetske izrabe na lokaciji pregrad.</w:t>
      </w:r>
      <w:r w:rsidR="009B292B">
        <w:t xml:space="preserve"> Naročnik bo </w:t>
      </w:r>
      <w:r w:rsidR="00A3472D">
        <w:t xml:space="preserve">še </w:t>
      </w:r>
      <w:r w:rsidR="009B292B">
        <w:t xml:space="preserve">podal posebne usmeritve za prostorske ureditve na območju nove jezovne zgradbe in </w:t>
      </w:r>
      <w:r w:rsidR="00A3472D">
        <w:t xml:space="preserve">na </w:t>
      </w:r>
      <w:r w:rsidR="009B292B">
        <w:t>obeh bregov ob jezovni zgradbi.</w:t>
      </w:r>
    </w:p>
    <w:p w14:paraId="4C5C87C9" w14:textId="2E7E10E3" w:rsidR="007E4908" w:rsidRDefault="007E4908" w:rsidP="0090182C">
      <w:pPr>
        <w:pStyle w:val="Odstavekseznama"/>
        <w:numPr>
          <w:ilvl w:val="0"/>
          <w:numId w:val="1"/>
        </w:numPr>
        <w:ind w:left="284" w:hanging="142"/>
        <w:jc w:val="both"/>
      </w:pPr>
      <w:r>
        <w:t xml:space="preserve">Vključitev prehoda za ribe v celostno rešitev lokacije </w:t>
      </w:r>
      <w:r w:rsidR="00153369">
        <w:t>v Gruberjevem prekopu</w:t>
      </w:r>
      <w:r>
        <w:t xml:space="preserve"> iz že izdelane strokovne podlage Zasnova prehodov za ribe ob pregradah, št. HPLJ-B040/084, maj 2025, IBE, d.d.</w:t>
      </w:r>
    </w:p>
    <w:p w14:paraId="3BEC3E60" w14:textId="302B8123" w:rsidR="00CB708D" w:rsidRDefault="00E40A1D" w:rsidP="0090182C">
      <w:pPr>
        <w:pStyle w:val="Odstavekseznama"/>
        <w:numPr>
          <w:ilvl w:val="0"/>
          <w:numId w:val="1"/>
        </w:numPr>
        <w:ind w:left="284" w:hanging="142"/>
        <w:jc w:val="both"/>
      </w:pPr>
      <w:r>
        <w:t>Rešitev u</w:t>
      </w:r>
      <w:r w:rsidR="00CB708D">
        <w:t>reditv</w:t>
      </w:r>
      <w:r>
        <w:t>e</w:t>
      </w:r>
      <w:r w:rsidR="00CB708D">
        <w:t xml:space="preserve"> odseka </w:t>
      </w:r>
      <w:r>
        <w:t xml:space="preserve">struge Gruberjevega prekopa </w:t>
      </w:r>
      <w:r w:rsidR="00CB708D">
        <w:t>med staro in novo jezovn</w:t>
      </w:r>
      <w:r>
        <w:t>o</w:t>
      </w:r>
      <w:r w:rsidR="00CB708D">
        <w:t xml:space="preserve"> zgradb</w:t>
      </w:r>
      <w:r>
        <w:t>o</w:t>
      </w:r>
      <w:r w:rsidR="00CE3614">
        <w:t>.</w:t>
      </w:r>
    </w:p>
    <w:p w14:paraId="48DC6AFF" w14:textId="24310311" w:rsidR="006F2470" w:rsidRDefault="006F2470" w:rsidP="0090182C">
      <w:pPr>
        <w:pStyle w:val="Odstavekseznama"/>
        <w:numPr>
          <w:ilvl w:val="0"/>
          <w:numId w:val="1"/>
        </w:numPr>
        <w:ind w:left="284" w:hanging="142"/>
        <w:jc w:val="both"/>
      </w:pPr>
      <w:r>
        <w:t>Zaradi ugotavljanja osnovnih razmer za energetiko, plovbo in obratovanje ribje steze je potrebno osnovno 2D modeliranje natoka nad jezom in pod jezom za vsaj dva merodajna pretoka Ljubljanice</w:t>
      </w:r>
      <w:r w:rsidR="00E40A1D">
        <w:t xml:space="preserve"> in značilno obratovanje splavnice.</w:t>
      </w:r>
    </w:p>
    <w:p w14:paraId="268D7F53" w14:textId="019245C0" w:rsidR="007E4908" w:rsidRDefault="007E4908" w:rsidP="00DA3B87">
      <w:pPr>
        <w:pStyle w:val="Odstavekseznama"/>
        <w:jc w:val="both"/>
      </w:pPr>
    </w:p>
    <w:p w14:paraId="04692B84" w14:textId="0D9E2F12" w:rsidR="00DA3B87" w:rsidRPr="0090182C" w:rsidRDefault="00DA3B87" w:rsidP="0090182C">
      <w:pPr>
        <w:jc w:val="both"/>
        <w:rPr>
          <w:b/>
          <w:bCs/>
        </w:rPr>
      </w:pPr>
      <w:r w:rsidRPr="0090182C">
        <w:rPr>
          <w:b/>
          <w:bCs/>
        </w:rPr>
        <w:t>SOTOČJE</w:t>
      </w:r>
    </w:p>
    <w:p w14:paraId="26C0300B" w14:textId="05161125" w:rsidR="00DA3B87" w:rsidRDefault="00DA3B87" w:rsidP="0090182C">
      <w:pPr>
        <w:pStyle w:val="Odstavekseznama"/>
        <w:numPr>
          <w:ilvl w:val="0"/>
          <w:numId w:val="1"/>
        </w:numPr>
        <w:ind w:left="284" w:hanging="142"/>
        <w:jc w:val="both"/>
      </w:pPr>
      <w:r>
        <w:t xml:space="preserve">Izdelava tehnične </w:t>
      </w:r>
      <w:r w:rsidR="00A3472D">
        <w:t xml:space="preserve">in prostorske </w:t>
      </w:r>
      <w:r>
        <w:t xml:space="preserve">rešitve nove zajezitve za sotočjem </w:t>
      </w:r>
      <w:r w:rsidR="00CE3614">
        <w:t>m</w:t>
      </w:r>
      <w:r>
        <w:t xml:space="preserve">estne Ljubljanice in </w:t>
      </w:r>
      <w:r w:rsidR="00C03BA8">
        <w:t xml:space="preserve">Gruberjevega </w:t>
      </w:r>
      <w:r>
        <w:t xml:space="preserve">prekopa, vključno </w:t>
      </w:r>
      <w:r w:rsidR="001C02A5">
        <w:t xml:space="preserve">z </w:t>
      </w:r>
      <w:r>
        <w:t>malo hidroelektrarno s parametri iz že izdelane študije energetske izrabe na lokaciji pregrad.</w:t>
      </w:r>
      <w:r w:rsidR="00A3472D">
        <w:t xml:space="preserve"> Naročnik bo še podal posebne usmeritve za prostorske ureditve na območju nove jezovne zgradbe in na obeh bregov ob jezovni zgradbi.</w:t>
      </w:r>
    </w:p>
    <w:p w14:paraId="65818B19" w14:textId="24A525F9" w:rsidR="003320F6" w:rsidRDefault="003320F6" w:rsidP="0090182C">
      <w:pPr>
        <w:pStyle w:val="Odstavekseznama"/>
        <w:numPr>
          <w:ilvl w:val="0"/>
          <w:numId w:val="1"/>
        </w:numPr>
        <w:ind w:left="284" w:hanging="142"/>
        <w:jc w:val="both"/>
      </w:pPr>
      <w:r>
        <w:t xml:space="preserve">Analiza dolvodne poglobitve na odseku do Fužinskega jezu z določitvijo </w:t>
      </w:r>
      <w:r w:rsidR="004A2E04">
        <w:t xml:space="preserve">načina in primerne tehnologije izvedbe, pri čemer morajo biti doseženi najmanj parametri spodnje vode, kot so upoštevani v strokovni podlagi </w:t>
      </w:r>
      <w:r w:rsidR="004A2E04" w:rsidRPr="004A2E04">
        <w:t>Energetska izraba na lokaciji pregrad, HPLJ-B040/084, maj 2025, IBE, d.d.</w:t>
      </w:r>
      <w:r w:rsidR="004A2E04">
        <w:t xml:space="preserve"> in upoštevane usmeritve za ustrezno razgibano oblikovanje poglobitve iz strokovne podlage </w:t>
      </w:r>
      <w:r w:rsidR="004A2E04" w:rsidRPr="004A2E04">
        <w:t>Zasnova prehodov za ribe ob pregradah, HPLJ-B040/084, maj 2025, IBE, d.d.</w:t>
      </w:r>
    </w:p>
    <w:p w14:paraId="35FFDBC1" w14:textId="72AB50CE" w:rsidR="00DA3B87" w:rsidRDefault="00DA3B87" w:rsidP="0090182C">
      <w:pPr>
        <w:pStyle w:val="Odstavekseznama"/>
        <w:numPr>
          <w:ilvl w:val="0"/>
          <w:numId w:val="1"/>
        </w:numPr>
        <w:ind w:left="284" w:hanging="142"/>
        <w:jc w:val="both"/>
      </w:pPr>
      <w:r>
        <w:t xml:space="preserve">Vključitev prehoda za ribe v celostno rešitev lokacije </w:t>
      </w:r>
      <w:r w:rsidR="00153369">
        <w:t>pri Toplarni</w:t>
      </w:r>
      <w:r>
        <w:t xml:space="preserve"> iz že izdelane strokovne podlage Zasnova prehodov za ribe ob pregradah, št. HPLJ-B040/084, maj 2025, IBE, d.d.</w:t>
      </w:r>
    </w:p>
    <w:p w14:paraId="160434C5" w14:textId="3AE76E6E" w:rsidR="006F2470" w:rsidRDefault="006F2470" w:rsidP="0090182C">
      <w:pPr>
        <w:pStyle w:val="Odstavekseznama"/>
        <w:numPr>
          <w:ilvl w:val="0"/>
          <w:numId w:val="1"/>
        </w:numPr>
        <w:ind w:left="284" w:hanging="142"/>
        <w:jc w:val="both"/>
      </w:pPr>
      <w:r>
        <w:lastRenderedPageBreak/>
        <w:t>Zaradi ugotavljanja osnovnih razmer za obratovanje MHE in ribje steze je potrebno osnovno 2D modeliranje natoka nad jezom in pod jezom za vsaj dva merodajna pretoka Ljubljanice.</w:t>
      </w:r>
    </w:p>
    <w:p w14:paraId="4CB3BF56" w14:textId="77777777" w:rsidR="00DA3B87" w:rsidRDefault="00DA3B87" w:rsidP="00DA3B87">
      <w:pPr>
        <w:pStyle w:val="Odstavekseznama"/>
        <w:jc w:val="both"/>
      </w:pPr>
    </w:p>
    <w:p w14:paraId="7E1D5132" w14:textId="694FA8F7" w:rsidR="008B0DE2" w:rsidRPr="0090182C" w:rsidRDefault="008B0DE2" w:rsidP="0090182C">
      <w:pPr>
        <w:jc w:val="both"/>
        <w:rPr>
          <w:b/>
          <w:bCs/>
        </w:rPr>
      </w:pPr>
      <w:r w:rsidRPr="0090182C">
        <w:rPr>
          <w:b/>
          <w:bCs/>
        </w:rPr>
        <w:t>PLOVNA POT</w:t>
      </w:r>
    </w:p>
    <w:p w14:paraId="15FAF5BC" w14:textId="71E70FC1" w:rsidR="008B0DE2" w:rsidRPr="002E6FC1" w:rsidRDefault="008B0DE2" w:rsidP="0090182C">
      <w:pPr>
        <w:pStyle w:val="Odstavekseznama"/>
        <w:numPr>
          <w:ilvl w:val="0"/>
          <w:numId w:val="1"/>
        </w:numPr>
        <w:ind w:left="284" w:hanging="142"/>
        <w:jc w:val="both"/>
      </w:pPr>
      <w:r>
        <w:t xml:space="preserve">Priprava tehnične rešitve krožne plovne poti od Špice do sotočja in Toplarne </w:t>
      </w:r>
      <w:r w:rsidR="00EE0071">
        <w:t>p</w:t>
      </w:r>
      <w:r>
        <w:t xml:space="preserve">o obeh rečnih vejah. Plovba je </w:t>
      </w:r>
      <w:r w:rsidR="00EE0071">
        <w:t xml:space="preserve">na gorvodnem delu krožne poti </w:t>
      </w:r>
      <w:r>
        <w:t xml:space="preserve">že vzpostavljena do obstoječe in v prihodnosti identične lokacije Ambrožev trg ter do sedanje pregrade v Gruberjevem prekopu, ki se bo s predlagano rešitvijo premaknila </w:t>
      </w:r>
      <w:r w:rsidR="00936696">
        <w:t>cca</w:t>
      </w:r>
      <w:r w:rsidR="003F5361">
        <w:t>.</w:t>
      </w:r>
      <w:r w:rsidR="00936696">
        <w:t xml:space="preserve"> </w:t>
      </w:r>
      <w:r>
        <w:t>300 m</w:t>
      </w:r>
      <w:r w:rsidR="00936696">
        <w:t xml:space="preserve"> (točna lokacija bo določena v fazi izdelave IZP)</w:t>
      </w:r>
      <w:r>
        <w:t xml:space="preserve"> dolvodno na novo lokacijo.</w:t>
      </w:r>
      <w:r w:rsidR="006C3F51">
        <w:t xml:space="preserve"> V okviru plovne poti se obdelajo splavnice in </w:t>
      </w:r>
      <w:r w:rsidR="00EE0071">
        <w:t>zasnova vstopno-izstopnih pristanov ter oceni poplavna izpostavljenost</w:t>
      </w:r>
      <w:r w:rsidR="007B36CC">
        <w:t xml:space="preserve"> plovne poti</w:t>
      </w:r>
      <w:r w:rsidR="00EE0071">
        <w:t>.</w:t>
      </w:r>
    </w:p>
    <w:p w14:paraId="764B5BF1" w14:textId="77777777" w:rsidR="008B0DE2" w:rsidRDefault="008B0DE2" w:rsidP="00DA3B87">
      <w:pPr>
        <w:pStyle w:val="Odstavekseznama"/>
        <w:jc w:val="both"/>
      </w:pPr>
    </w:p>
    <w:p w14:paraId="612D5955" w14:textId="48544B03" w:rsidR="007B36CC" w:rsidRDefault="006C3F51" w:rsidP="00C40F65">
      <w:pPr>
        <w:jc w:val="both"/>
      </w:pPr>
      <w:r>
        <w:t xml:space="preserve">Na lokacijah jezovnih zgradb je </w:t>
      </w:r>
      <w:r w:rsidR="002E6FC1">
        <w:t>potrebno</w:t>
      </w:r>
      <w:r>
        <w:t xml:space="preserve"> pripraviti osnutek organizacije gradnje in določiti potrebno trajno in začasno zasedbo prostora. Za vse rešitve se izdela stroškovna ocena in povzetki ključnih parametrov objektov.</w:t>
      </w:r>
      <w:r w:rsidR="009B292B">
        <w:t xml:space="preserve"> </w:t>
      </w:r>
    </w:p>
    <w:p w14:paraId="734212D2" w14:textId="2D7AF59D" w:rsidR="006C3F51" w:rsidRDefault="009B292B" w:rsidP="00C40F65">
      <w:pPr>
        <w:jc w:val="both"/>
      </w:pPr>
      <w:r>
        <w:t xml:space="preserve">Nujna je priprava hidravličnega modela celotnega območja plovbe, pri čemer se lokacije jezovnih zgradb obravnavajo v 2D načinu. Zagotavljanje podatkov o geometriji struge, objektih v strugi in hidrologiji ni v obsegu te naloge. </w:t>
      </w:r>
    </w:p>
    <w:p w14:paraId="78D9BB7E" w14:textId="65D82BC9" w:rsidR="00DA3B87" w:rsidRDefault="00C40F65" w:rsidP="00C40F65">
      <w:pPr>
        <w:jc w:val="both"/>
      </w:pPr>
      <w:r>
        <w:t>Pri uporabi obstoječe dokumentacije je, pri istih vsebinah, prioritetno potrebno upoštevati rešitve iz dokumentacije novejšega datuma</w:t>
      </w:r>
      <w:r w:rsidR="00DD367E">
        <w:t>.</w:t>
      </w:r>
    </w:p>
    <w:p w14:paraId="7A622C74" w14:textId="77777777" w:rsidR="00E83953" w:rsidRDefault="00E83953" w:rsidP="00E83953">
      <w:pPr>
        <w:pStyle w:val="Naslov1"/>
      </w:pPr>
      <w:r>
        <w:t xml:space="preserve">Vhodni </w:t>
      </w:r>
      <w:r w:rsidRPr="00284319">
        <w:t>podatki</w:t>
      </w:r>
    </w:p>
    <w:p w14:paraId="235048D7" w14:textId="77777777" w:rsidR="00E83953" w:rsidRPr="002857AD" w:rsidRDefault="00E83953" w:rsidP="00E83953"/>
    <w:p w14:paraId="17402363" w14:textId="64CE7B25" w:rsidR="00C03BA8" w:rsidRDefault="00C03BA8" w:rsidP="0090182C">
      <w:pPr>
        <w:pStyle w:val="Odstavekseznama"/>
        <w:numPr>
          <w:ilvl w:val="0"/>
          <w:numId w:val="2"/>
        </w:numPr>
        <w:ind w:left="284" w:hanging="284"/>
        <w:jc w:val="both"/>
      </w:pPr>
      <w:r>
        <w:t>Poročilo o geoloških in geomehanskih raziskavah … (IRGO, 2025)</w:t>
      </w:r>
      <w:r w:rsidR="003F5361">
        <w:t>.</w:t>
      </w:r>
      <w:r w:rsidR="003D5860">
        <w:t xml:space="preserve"> </w:t>
      </w:r>
    </w:p>
    <w:p w14:paraId="3C05BBEA" w14:textId="77777777" w:rsidR="0090182C" w:rsidRDefault="00AD337D" w:rsidP="0090182C">
      <w:pPr>
        <w:pStyle w:val="Odstavekseznama"/>
        <w:numPr>
          <w:ilvl w:val="0"/>
          <w:numId w:val="2"/>
        </w:numPr>
        <w:ind w:left="284" w:hanging="284"/>
        <w:jc w:val="both"/>
      </w:pPr>
      <w:r>
        <w:t xml:space="preserve">Aktualen geodetski posnetek lokacij </w:t>
      </w:r>
      <w:r w:rsidR="006C3F51">
        <w:t>jezovnih zgradb ter plovne poti, vključno z mostovi</w:t>
      </w:r>
      <w:r w:rsidR="00EE0071">
        <w:t xml:space="preserve"> in strugo do Fužinskega jezu.</w:t>
      </w:r>
    </w:p>
    <w:p w14:paraId="6E0622F3" w14:textId="0844793C" w:rsidR="0090182C" w:rsidRDefault="00E83953" w:rsidP="0090182C">
      <w:pPr>
        <w:pStyle w:val="Odstavekseznama"/>
        <w:numPr>
          <w:ilvl w:val="0"/>
          <w:numId w:val="2"/>
        </w:numPr>
        <w:ind w:left="284" w:hanging="284"/>
        <w:jc w:val="both"/>
      </w:pPr>
      <w:r>
        <w:t xml:space="preserve">Izhodišča za pripravo OPPN vzpostavitev krožne plovne poti po Ljubljanici v Ljubljani ob hkratni energetski izrabi Ljubljanice, št. 8745, </w:t>
      </w:r>
      <w:r w:rsidR="003F5361">
        <w:t>n</w:t>
      </w:r>
      <w:r>
        <w:t>ovember 2023, LUZ, d.d. .</w:t>
      </w:r>
    </w:p>
    <w:p w14:paraId="4E451415" w14:textId="45EBB9D4" w:rsidR="0090182C" w:rsidRDefault="00E83953" w:rsidP="00E83953">
      <w:pPr>
        <w:pStyle w:val="Odstavekseznama"/>
        <w:numPr>
          <w:ilvl w:val="0"/>
          <w:numId w:val="2"/>
        </w:numPr>
        <w:ind w:left="284" w:hanging="284"/>
        <w:jc w:val="both"/>
      </w:pPr>
      <w:r w:rsidRPr="00EA2904">
        <w:t>Energetska izraba Ljubljanice ob istočasni vzpostavitvi krožne plovne poti. Študija št. HPLJ-B040/084, IBE in LUZ, september 2016.</w:t>
      </w:r>
    </w:p>
    <w:p w14:paraId="006DE921" w14:textId="7F44DB58" w:rsidR="00E83953" w:rsidRDefault="00E83953" w:rsidP="00E83953">
      <w:pPr>
        <w:pStyle w:val="Odstavekseznama"/>
        <w:numPr>
          <w:ilvl w:val="0"/>
          <w:numId w:val="2"/>
        </w:numPr>
        <w:ind w:left="284" w:hanging="284"/>
        <w:jc w:val="both"/>
      </w:pPr>
      <w:r>
        <w:t>Podrobnejše usmeritve s področja upravljanja z vodami za pripravo osnutka Občinski podrobni prostorski načrt vzpostavitve krožne plovne poti po Ljubljanici in Gruberjevem prekopu v Ljubljani ob hkratni energetski izrabi Ljubljanice, MNVP, DRSV, št. 35020-105/2023-4, 26.6.2024.</w:t>
      </w:r>
    </w:p>
    <w:p w14:paraId="1F0E6BE8" w14:textId="77777777" w:rsidR="0090182C" w:rsidRDefault="00E83953" w:rsidP="0090182C">
      <w:pPr>
        <w:pStyle w:val="Odstavekseznama"/>
        <w:numPr>
          <w:ilvl w:val="0"/>
          <w:numId w:val="2"/>
        </w:numPr>
        <w:ind w:left="284" w:hanging="284"/>
        <w:jc w:val="both"/>
      </w:pPr>
      <w:r>
        <w:t>Strokovna podlaga – Zasnova prehodov za ribe ob pregradah, HPLJ-B040/084, maj 2025, IBE, d.d.</w:t>
      </w:r>
    </w:p>
    <w:p w14:paraId="18D13C16" w14:textId="77777777" w:rsidR="0090182C" w:rsidRDefault="001C02A5" w:rsidP="0090182C">
      <w:pPr>
        <w:pStyle w:val="Odstavekseznama"/>
        <w:numPr>
          <w:ilvl w:val="0"/>
          <w:numId w:val="2"/>
        </w:numPr>
        <w:ind w:left="284" w:hanging="284"/>
        <w:jc w:val="both"/>
      </w:pPr>
      <w:r>
        <w:t>St</w:t>
      </w:r>
      <w:r w:rsidR="00153369">
        <w:t>r</w:t>
      </w:r>
      <w:r>
        <w:t>okovna podlaga – Energetska izraba na lokaciji pregrad, HPLJ-B040/084, maj 2025, IBE, d.d.</w:t>
      </w:r>
    </w:p>
    <w:p w14:paraId="1E8BA51F" w14:textId="2DFAD642" w:rsidR="003D5860" w:rsidRDefault="003D5860" w:rsidP="0090182C">
      <w:pPr>
        <w:pStyle w:val="Odstavekseznama"/>
        <w:numPr>
          <w:ilvl w:val="0"/>
          <w:numId w:val="2"/>
        </w:numPr>
        <w:ind w:left="284" w:hanging="284"/>
        <w:jc w:val="both"/>
      </w:pPr>
      <w:r>
        <w:t>Strokovna podlaga – Hidrološko hidravlična študija – 1. faza (IZVOR, 2025)</w:t>
      </w:r>
      <w:r w:rsidR="0090182C">
        <w:t>.</w:t>
      </w:r>
    </w:p>
    <w:p w14:paraId="6136EA53" w14:textId="77777777" w:rsidR="00E83953" w:rsidRDefault="00E83953" w:rsidP="00E83953">
      <w:pPr>
        <w:pStyle w:val="Naslov1"/>
      </w:pPr>
      <w:r>
        <w:t>Viri</w:t>
      </w:r>
    </w:p>
    <w:p w14:paraId="12C85E04" w14:textId="77777777" w:rsidR="00E83953" w:rsidRDefault="00E83953" w:rsidP="0090182C">
      <w:pPr>
        <w:jc w:val="both"/>
      </w:pPr>
      <w:r w:rsidRPr="00EA2904">
        <w:t>[1] Energetska izraba Ljubljanice ob istočasni vzpostavitvi krožne plovne poti. Študija št. HPLJ-B040/084, mapa 0X/M01. IBE in LUZ, september 2016.</w:t>
      </w:r>
    </w:p>
    <w:p w14:paraId="5AE4F5E6" w14:textId="77777777" w:rsidR="00E62BE6" w:rsidRDefault="00E62BE6" w:rsidP="00E62BE6">
      <w:pPr>
        <w:pStyle w:val="Naslov1"/>
        <w:spacing w:before="0" w:line="240" w:lineRule="auto"/>
      </w:pPr>
    </w:p>
    <w:p w14:paraId="32BF5ED1" w14:textId="77777777" w:rsidR="00E62BE6" w:rsidRPr="00E62BE6" w:rsidRDefault="00E62BE6" w:rsidP="00E62BE6"/>
    <w:p w14:paraId="2BCB71CE" w14:textId="5CF9169A" w:rsidR="00E83953" w:rsidRDefault="00E83953" w:rsidP="00E83953">
      <w:pPr>
        <w:pStyle w:val="Naslov1"/>
      </w:pPr>
      <w:r w:rsidRPr="00C31ED2">
        <w:lastRenderedPageBreak/>
        <w:t>Rok</w:t>
      </w:r>
      <w:r>
        <w:t>i</w:t>
      </w:r>
      <w:r w:rsidRPr="00C31ED2">
        <w:t xml:space="preserve"> izdelave</w:t>
      </w:r>
    </w:p>
    <w:p w14:paraId="36D9C813" w14:textId="77777777" w:rsidR="00E83953" w:rsidRPr="002857AD" w:rsidRDefault="00E83953" w:rsidP="00E83953"/>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
        <w:gridCol w:w="4492"/>
        <w:gridCol w:w="4110"/>
      </w:tblGrid>
      <w:tr w:rsidR="00E83953" w:rsidRPr="00B11A86" w14:paraId="1EE237BF" w14:textId="77777777" w:rsidTr="00C25F39">
        <w:tc>
          <w:tcPr>
            <w:tcW w:w="357" w:type="dxa"/>
            <w:shd w:val="clear" w:color="auto" w:fill="auto"/>
          </w:tcPr>
          <w:p w14:paraId="5BDD4B61" w14:textId="77777777" w:rsidR="00E83953" w:rsidRPr="00854B2D" w:rsidRDefault="00E83953" w:rsidP="00C25F39">
            <w:pPr>
              <w:ind w:right="-281"/>
              <w:rPr>
                <w:rFonts w:cs="Arial"/>
                <w:bCs/>
              </w:rPr>
            </w:pPr>
          </w:p>
        </w:tc>
        <w:tc>
          <w:tcPr>
            <w:tcW w:w="4492" w:type="dxa"/>
            <w:shd w:val="clear" w:color="auto" w:fill="auto"/>
          </w:tcPr>
          <w:p w14:paraId="53A1B735" w14:textId="77777777" w:rsidR="00E83953" w:rsidRPr="00CD3F3D" w:rsidRDefault="00E83953" w:rsidP="00C25F39">
            <w:pPr>
              <w:ind w:right="-281"/>
              <w:rPr>
                <w:rFonts w:cs="Arial"/>
                <w:b/>
              </w:rPr>
            </w:pPr>
            <w:r w:rsidRPr="00CD3F3D">
              <w:rPr>
                <w:rFonts w:cs="Arial"/>
                <w:b/>
              </w:rPr>
              <w:t xml:space="preserve">Obseg vsebin </w:t>
            </w:r>
          </w:p>
        </w:tc>
        <w:tc>
          <w:tcPr>
            <w:tcW w:w="4110" w:type="dxa"/>
            <w:shd w:val="clear" w:color="auto" w:fill="auto"/>
          </w:tcPr>
          <w:p w14:paraId="7DFE4677" w14:textId="77777777" w:rsidR="00E83953" w:rsidRPr="00CD3F3D" w:rsidRDefault="00E83953" w:rsidP="00C25F39">
            <w:pPr>
              <w:jc w:val="center"/>
              <w:rPr>
                <w:rFonts w:cs="Arial"/>
                <w:b/>
              </w:rPr>
            </w:pPr>
            <w:r w:rsidRPr="00CD3F3D">
              <w:rPr>
                <w:rFonts w:cs="Arial"/>
                <w:b/>
              </w:rPr>
              <w:t xml:space="preserve">Rok </w:t>
            </w:r>
          </w:p>
        </w:tc>
      </w:tr>
      <w:tr w:rsidR="00E83953" w:rsidRPr="00B11A86" w14:paraId="66D817F5" w14:textId="77777777" w:rsidTr="00C25F39">
        <w:tc>
          <w:tcPr>
            <w:tcW w:w="357" w:type="dxa"/>
            <w:shd w:val="clear" w:color="auto" w:fill="auto"/>
          </w:tcPr>
          <w:p w14:paraId="67815F3E" w14:textId="77777777" w:rsidR="00E83953" w:rsidRPr="00854B2D" w:rsidRDefault="00E83953" w:rsidP="00C25F39">
            <w:pPr>
              <w:ind w:right="-281"/>
              <w:rPr>
                <w:rFonts w:cs="Arial"/>
                <w:bCs/>
              </w:rPr>
            </w:pPr>
            <w:r>
              <w:rPr>
                <w:rFonts w:cs="Arial"/>
                <w:bCs/>
              </w:rPr>
              <w:t>1</w:t>
            </w:r>
          </w:p>
        </w:tc>
        <w:tc>
          <w:tcPr>
            <w:tcW w:w="4492" w:type="dxa"/>
            <w:shd w:val="clear" w:color="auto" w:fill="auto"/>
          </w:tcPr>
          <w:p w14:paraId="692FCAF4" w14:textId="6B183076" w:rsidR="00E83953" w:rsidRPr="00854B2D" w:rsidRDefault="00C40F65" w:rsidP="00C25F39">
            <w:pPr>
              <w:spacing w:after="0" w:line="240" w:lineRule="auto"/>
              <w:rPr>
                <w:rFonts w:cs="Arial"/>
                <w:bCs/>
              </w:rPr>
            </w:pPr>
            <w:r>
              <w:rPr>
                <w:rFonts w:cs="Arial"/>
                <w:bCs/>
              </w:rPr>
              <w:t>Idejna zasnova projekta – izdelane rešitve posameznih lokacij in groba geometrija struge in objektov v strugi</w:t>
            </w:r>
          </w:p>
        </w:tc>
        <w:tc>
          <w:tcPr>
            <w:tcW w:w="4110" w:type="dxa"/>
            <w:shd w:val="clear" w:color="auto" w:fill="auto"/>
          </w:tcPr>
          <w:p w14:paraId="6989CF06" w14:textId="298B736F" w:rsidR="00E83953" w:rsidRDefault="00E83953" w:rsidP="00C25F39">
            <w:pPr>
              <w:ind w:left="70"/>
              <w:jc w:val="center"/>
              <w:rPr>
                <w:rFonts w:cs="Arial"/>
                <w:bCs/>
              </w:rPr>
            </w:pPr>
            <w:r>
              <w:rPr>
                <w:rFonts w:cs="Arial"/>
                <w:bCs/>
              </w:rPr>
              <w:t xml:space="preserve">T0 + </w:t>
            </w:r>
            <w:r w:rsidR="005A5FCB">
              <w:rPr>
                <w:rFonts w:cs="Arial"/>
                <w:bCs/>
              </w:rPr>
              <w:t xml:space="preserve">6 </w:t>
            </w:r>
            <w:r>
              <w:rPr>
                <w:rFonts w:cs="Arial"/>
                <w:bCs/>
              </w:rPr>
              <w:t>mesecev</w:t>
            </w:r>
          </w:p>
        </w:tc>
      </w:tr>
      <w:tr w:rsidR="00C40F65" w:rsidRPr="00B11A86" w14:paraId="3F7B303B" w14:textId="77777777" w:rsidTr="00C25F39">
        <w:tc>
          <w:tcPr>
            <w:tcW w:w="357" w:type="dxa"/>
            <w:shd w:val="clear" w:color="auto" w:fill="auto"/>
          </w:tcPr>
          <w:p w14:paraId="1E20E78E" w14:textId="73F61B33" w:rsidR="00C40F65" w:rsidRDefault="00C40F65" w:rsidP="00C25F39">
            <w:pPr>
              <w:ind w:right="-281"/>
              <w:rPr>
                <w:rFonts w:cs="Arial"/>
                <w:bCs/>
              </w:rPr>
            </w:pPr>
            <w:r>
              <w:rPr>
                <w:rFonts w:cs="Arial"/>
                <w:bCs/>
              </w:rPr>
              <w:t>2</w:t>
            </w:r>
          </w:p>
        </w:tc>
        <w:tc>
          <w:tcPr>
            <w:tcW w:w="4492" w:type="dxa"/>
            <w:shd w:val="clear" w:color="auto" w:fill="auto"/>
          </w:tcPr>
          <w:p w14:paraId="6F5FFE30" w14:textId="39F7DAA3" w:rsidR="00C40F65" w:rsidRDefault="00C40F65" w:rsidP="00C25F39">
            <w:pPr>
              <w:spacing w:after="0" w:line="240" w:lineRule="auto"/>
              <w:rPr>
                <w:rFonts w:cs="Arial"/>
                <w:bCs/>
              </w:rPr>
            </w:pPr>
            <w:r>
              <w:rPr>
                <w:rFonts w:cs="Arial"/>
                <w:bCs/>
              </w:rPr>
              <w:t>Izdelava idejne zasnove projekta v celotni vsebini</w:t>
            </w:r>
          </w:p>
        </w:tc>
        <w:tc>
          <w:tcPr>
            <w:tcW w:w="4110" w:type="dxa"/>
            <w:shd w:val="clear" w:color="auto" w:fill="auto"/>
          </w:tcPr>
          <w:p w14:paraId="50A75BD7" w14:textId="29A855E7" w:rsidR="00C40F65" w:rsidRDefault="00C40F65" w:rsidP="00C25F39">
            <w:pPr>
              <w:ind w:left="70"/>
              <w:jc w:val="center"/>
              <w:rPr>
                <w:rFonts w:cs="Arial"/>
                <w:bCs/>
              </w:rPr>
            </w:pPr>
            <w:r>
              <w:rPr>
                <w:rFonts w:cs="Arial"/>
                <w:bCs/>
              </w:rPr>
              <w:t xml:space="preserve">TO + </w:t>
            </w:r>
            <w:r w:rsidR="008F0A45">
              <w:rPr>
                <w:rFonts w:cs="Arial"/>
                <w:bCs/>
              </w:rPr>
              <w:t>9</w:t>
            </w:r>
            <w:r>
              <w:rPr>
                <w:rFonts w:cs="Arial"/>
                <w:bCs/>
              </w:rPr>
              <w:t xml:space="preserve"> mesece</w:t>
            </w:r>
            <w:r w:rsidR="005A5FCB">
              <w:rPr>
                <w:rFonts w:cs="Arial"/>
                <w:bCs/>
              </w:rPr>
              <w:t>v</w:t>
            </w:r>
          </w:p>
        </w:tc>
      </w:tr>
    </w:tbl>
    <w:p w14:paraId="0B1BF8BC" w14:textId="77777777" w:rsidR="00E83953" w:rsidRDefault="00E83953" w:rsidP="00E83953">
      <w:pPr>
        <w:jc w:val="center"/>
      </w:pPr>
      <w:r>
        <w:t>T0 = datum podpisa pogodbe</w:t>
      </w:r>
    </w:p>
    <w:p w14:paraId="4B21F8E5" w14:textId="77777777" w:rsidR="00E83953" w:rsidRDefault="00E83953" w:rsidP="00E83953">
      <w:pPr>
        <w:jc w:val="center"/>
      </w:pPr>
    </w:p>
    <w:p w14:paraId="41E229ED" w14:textId="77777777" w:rsidR="00CB6528" w:rsidRDefault="00CB6528"/>
    <w:sectPr w:rsidR="00CB6528">
      <w:footerReference w:type="default" r:id="rId1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691006" w14:textId="77777777" w:rsidR="00E25A9A" w:rsidRDefault="00E25A9A" w:rsidP="00E56C85">
      <w:pPr>
        <w:spacing w:after="0" w:line="240" w:lineRule="auto"/>
      </w:pPr>
      <w:r>
        <w:separator/>
      </w:r>
    </w:p>
  </w:endnote>
  <w:endnote w:type="continuationSeparator" w:id="0">
    <w:p w14:paraId="0D7F1633" w14:textId="77777777" w:rsidR="00E25A9A" w:rsidRDefault="00E25A9A" w:rsidP="00E56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TrebuchetMS,Bold">
    <w:altName w:val="Calibri"/>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17198464"/>
      <w:docPartObj>
        <w:docPartGallery w:val="Page Numbers (Bottom of Page)"/>
        <w:docPartUnique/>
      </w:docPartObj>
    </w:sdtPr>
    <w:sdtContent>
      <w:p w14:paraId="63745825" w14:textId="1ACB6EAF" w:rsidR="00E56C85" w:rsidRDefault="00E56C85">
        <w:pPr>
          <w:pStyle w:val="Noga"/>
          <w:jc w:val="center"/>
        </w:pPr>
        <w:r>
          <w:fldChar w:fldCharType="begin"/>
        </w:r>
        <w:r>
          <w:instrText>PAGE   \* MERGEFORMAT</w:instrText>
        </w:r>
        <w:r>
          <w:fldChar w:fldCharType="separate"/>
        </w:r>
        <w:r>
          <w:t>2</w:t>
        </w:r>
        <w:r>
          <w:fldChar w:fldCharType="end"/>
        </w:r>
      </w:p>
    </w:sdtContent>
  </w:sdt>
  <w:p w14:paraId="1EDD2CBB" w14:textId="77777777" w:rsidR="00E56C85" w:rsidRDefault="00E56C85">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86D585" w14:textId="77777777" w:rsidR="00E25A9A" w:rsidRDefault="00E25A9A" w:rsidP="00E56C85">
      <w:pPr>
        <w:spacing w:after="0" w:line="240" w:lineRule="auto"/>
      </w:pPr>
      <w:r>
        <w:separator/>
      </w:r>
    </w:p>
  </w:footnote>
  <w:footnote w:type="continuationSeparator" w:id="0">
    <w:p w14:paraId="78EFC18F" w14:textId="77777777" w:rsidR="00E25A9A" w:rsidRDefault="00E25A9A" w:rsidP="00E56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073E7C"/>
    <w:multiLevelType w:val="hybridMultilevel"/>
    <w:tmpl w:val="91B8C0D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3F1C61F9"/>
    <w:multiLevelType w:val="hybridMultilevel"/>
    <w:tmpl w:val="3C701228"/>
    <w:lvl w:ilvl="0" w:tplc="9920ED4C">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72AE49F8"/>
    <w:multiLevelType w:val="hybridMultilevel"/>
    <w:tmpl w:val="9FFE698C"/>
    <w:lvl w:ilvl="0" w:tplc="51A0BBF8">
      <w:start w:val="1"/>
      <w:numFmt w:val="decimal"/>
      <w:lvlText w:val="%1."/>
      <w:lvlJc w:val="left"/>
      <w:pPr>
        <w:ind w:left="1070" w:hanging="71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876429832">
    <w:abstractNumId w:val="1"/>
  </w:num>
  <w:num w:numId="2" w16cid:durableId="848176093">
    <w:abstractNumId w:val="0"/>
  </w:num>
  <w:num w:numId="3" w16cid:durableId="15893066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25"/>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953"/>
    <w:rsid w:val="00017AE8"/>
    <w:rsid w:val="000217C3"/>
    <w:rsid w:val="00026E6D"/>
    <w:rsid w:val="0006665E"/>
    <w:rsid w:val="000B41CA"/>
    <w:rsid w:val="00153369"/>
    <w:rsid w:val="00153745"/>
    <w:rsid w:val="00156C80"/>
    <w:rsid w:val="00156FAD"/>
    <w:rsid w:val="001571F5"/>
    <w:rsid w:val="001C02A5"/>
    <w:rsid w:val="00207343"/>
    <w:rsid w:val="00264850"/>
    <w:rsid w:val="00267A04"/>
    <w:rsid w:val="002B4B63"/>
    <w:rsid w:val="002E6FC1"/>
    <w:rsid w:val="0032752E"/>
    <w:rsid w:val="003320F6"/>
    <w:rsid w:val="00361146"/>
    <w:rsid w:val="003D5860"/>
    <w:rsid w:val="003F5361"/>
    <w:rsid w:val="00406ECD"/>
    <w:rsid w:val="00480084"/>
    <w:rsid w:val="004A2E04"/>
    <w:rsid w:val="004C56AA"/>
    <w:rsid w:val="0057750E"/>
    <w:rsid w:val="005A5FCB"/>
    <w:rsid w:val="005C6EEE"/>
    <w:rsid w:val="00604FE9"/>
    <w:rsid w:val="00656C93"/>
    <w:rsid w:val="006C3F51"/>
    <w:rsid w:val="006F2470"/>
    <w:rsid w:val="006F7409"/>
    <w:rsid w:val="007447D2"/>
    <w:rsid w:val="007B1F22"/>
    <w:rsid w:val="007B36CC"/>
    <w:rsid w:val="007E4908"/>
    <w:rsid w:val="007F45D3"/>
    <w:rsid w:val="008B0DE2"/>
    <w:rsid w:val="008F0A45"/>
    <w:rsid w:val="0090182C"/>
    <w:rsid w:val="00906837"/>
    <w:rsid w:val="00936696"/>
    <w:rsid w:val="00937CD3"/>
    <w:rsid w:val="009B292B"/>
    <w:rsid w:val="00A12C3D"/>
    <w:rsid w:val="00A24964"/>
    <w:rsid w:val="00A3472D"/>
    <w:rsid w:val="00A474CC"/>
    <w:rsid w:val="00A528DC"/>
    <w:rsid w:val="00A70A01"/>
    <w:rsid w:val="00AC6701"/>
    <w:rsid w:val="00AD337D"/>
    <w:rsid w:val="00B04CBF"/>
    <w:rsid w:val="00B11EB2"/>
    <w:rsid w:val="00B25131"/>
    <w:rsid w:val="00BE50D4"/>
    <w:rsid w:val="00C03BA8"/>
    <w:rsid w:val="00C40F65"/>
    <w:rsid w:val="00C50FF8"/>
    <w:rsid w:val="00C8046F"/>
    <w:rsid w:val="00CB6528"/>
    <w:rsid w:val="00CB708D"/>
    <w:rsid w:val="00CE3614"/>
    <w:rsid w:val="00DA3B87"/>
    <w:rsid w:val="00DA5F02"/>
    <w:rsid w:val="00DD367E"/>
    <w:rsid w:val="00E20583"/>
    <w:rsid w:val="00E25A9A"/>
    <w:rsid w:val="00E40A1D"/>
    <w:rsid w:val="00E56C85"/>
    <w:rsid w:val="00E62BE6"/>
    <w:rsid w:val="00E83953"/>
    <w:rsid w:val="00EE0071"/>
    <w:rsid w:val="00EF2967"/>
    <w:rsid w:val="00F73561"/>
    <w:rsid w:val="00FB6C9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DD720B"/>
  <w15:chartTrackingRefBased/>
  <w15:docId w15:val="{0F9F4F8B-7C87-44C5-A449-3CB6F1D33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83953"/>
    <w:rPr>
      <w:kern w:val="2"/>
      <w14:ligatures w14:val="standardContextual"/>
    </w:rPr>
  </w:style>
  <w:style w:type="paragraph" w:styleId="Naslov1">
    <w:name w:val="heading 1"/>
    <w:basedOn w:val="Navaden"/>
    <w:next w:val="Navaden"/>
    <w:link w:val="Naslov1Znak"/>
    <w:uiPriority w:val="9"/>
    <w:qFormat/>
    <w:rsid w:val="00E8395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E83953"/>
    <w:rPr>
      <w:rFonts w:asciiTheme="majorHAnsi" w:eastAsiaTheme="majorEastAsia" w:hAnsiTheme="majorHAnsi" w:cstheme="majorBidi"/>
      <w:color w:val="2F5496" w:themeColor="accent1" w:themeShade="BF"/>
      <w:kern w:val="2"/>
      <w:sz w:val="32"/>
      <w:szCs w:val="32"/>
      <w14:ligatures w14:val="standardContextual"/>
    </w:rPr>
  </w:style>
  <w:style w:type="paragraph" w:customStyle="1" w:styleId="SC-Table">
    <w:name w:val="SC-Table"/>
    <w:basedOn w:val="Navaden"/>
    <w:link w:val="SC-TableZnak"/>
    <w:rsid w:val="00E83953"/>
    <w:pPr>
      <w:overflowPunct w:val="0"/>
      <w:autoSpaceDE w:val="0"/>
      <w:autoSpaceDN w:val="0"/>
      <w:adjustRightInd w:val="0"/>
      <w:spacing w:after="0" w:line="240" w:lineRule="auto"/>
      <w:textAlignment w:val="baseline"/>
    </w:pPr>
    <w:rPr>
      <w:rFonts w:ascii="Garamond" w:eastAsia="Times New Roman" w:hAnsi="Garamond" w:cs="Times New Roman"/>
      <w:kern w:val="0"/>
      <w:sz w:val="16"/>
      <w:szCs w:val="20"/>
      <w:lang w:val="it-IT" w:eastAsia="sl-SI"/>
      <w14:ligatures w14:val="none"/>
    </w:rPr>
  </w:style>
  <w:style w:type="paragraph" w:customStyle="1" w:styleId="SC-TableBold">
    <w:name w:val="SC-Table_Bold"/>
    <w:basedOn w:val="SC-Table"/>
    <w:link w:val="SC-TableBoldZnak"/>
    <w:rsid w:val="00E83953"/>
    <w:rPr>
      <w:b/>
    </w:rPr>
  </w:style>
  <w:style w:type="character" w:customStyle="1" w:styleId="SC-TableZnak">
    <w:name w:val="SC-Table Znak"/>
    <w:basedOn w:val="Privzetapisavaodstavka"/>
    <w:link w:val="SC-Table"/>
    <w:rsid w:val="00E83953"/>
    <w:rPr>
      <w:rFonts w:ascii="Garamond" w:eastAsia="Times New Roman" w:hAnsi="Garamond" w:cs="Times New Roman"/>
      <w:sz w:val="16"/>
      <w:szCs w:val="20"/>
      <w:lang w:val="it-IT" w:eastAsia="sl-SI"/>
    </w:rPr>
  </w:style>
  <w:style w:type="character" w:customStyle="1" w:styleId="SC-TableBoldZnak">
    <w:name w:val="SC-Table_Bold Znak"/>
    <w:basedOn w:val="SC-TableZnak"/>
    <w:link w:val="SC-TableBold"/>
    <w:rsid w:val="00E83953"/>
    <w:rPr>
      <w:rFonts w:ascii="Garamond" w:eastAsia="Times New Roman" w:hAnsi="Garamond" w:cs="Times New Roman"/>
      <w:b/>
      <w:sz w:val="16"/>
      <w:szCs w:val="20"/>
      <w:lang w:val="it-IT" w:eastAsia="sl-SI"/>
    </w:rPr>
  </w:style>
  <w:style w:type="paragraph" w:styleId="Odstavekseznama">
    <w:name w:val="List Paragraph"/>
    <w:basedOn w:val="Navaden"/>
    <w:uiPriority w:val="34"/>
    <w:qFormat/>
    <w:rsid w:val="00E20583"/>
    <w:pPr>
      <w:ind w:left="720"/>
      <w:contextualSpacing/>
    </w:pPr>
  </w:style>
  <w:style w:type="paragraph" w:styleId="Revizija">
    <w:name w:val="Revision"/>
    <w:hidden/>
    <w:uiPriority w:val="99"/>
    <w:semiHidden/>
    <w:rsid w:val="00C03BA8"/>
    <w:pPr>
      <w:spacing w:after="0" w:line="240" w:lineRule="auto"/>
    </w:pPr>
    <w:rPr>
      <w:kern w:val="2"/>
      <w14:ligatures w14:val="standardContextual"/>
    </w:rPr>
  </w:style>
  <w:style w:type="character" w:styleId="Pripombasklic">
    <w:name w:val="annotation reference"/>
    <w:basedOn w:val="Privzetapisavaodstavka"/>
    <w:uiPriority w:val="99"/>
    <w:semiHidden/>
    <w:unhideWhenUsed/>
    <w:rsid w:val="0032752E"/>
    <w:rPr>
      <w:sz w:val="16"/>
      <w:szCs w:val="16"/>
    </w:rPr>
  </w:style>
  <w:style w:type="paragraph" w:styleId="Pripombabesedilo">
    <w:name w:val="annotation text"/>
    <w:basedOn w:val="Navaden"/>
    <w:link w:val="PripombabesediloZnak"/>
    <w:uiPriority w:val="99"/>
    <w:semiHidden/>
    <w:unhideWhenUsed/>
    <w:rsid w:val="0032752E"/>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32752E"/>
    <w:rPr>
      <w:kern w:val="2"/>
      <w:sz w:val="20"/>
      <w:szCs w:val="20"/>
      <w14:ligatures w14:val="standardContextual"/>
    </w:rPr>
  </w:style>
  <w:style w:type="paragraph" w:styleId="Zadevapripombe">
    <w:name w:val="annotation subject"/>
    <w:basedOn w:val="Pripombabesedilo"/>
    <w:next w:val="Pripombabesedilo"/>
    <w:link w:val="ZadevapripombeZnak"/>
    <w:uiPriority w:val="99"/>
    <w:semiHidden/>
    <w:unhideWhenUsed/>
    <w:rsid w:val="0032752E"/>
    <w:rPr>
      <w:b/>
      <w:bCs/>
    </w:rPr>
  </w:style>
  <w:style w:type="character" w:customStyle="1" w:styleId="ZadevapripombeZnak">
    <w:name w:val="Zadeva pripombe Znak"/>
    <w:basedOn w:val="PripombabesediloZnak"/>
    <w:link w:val="Zadevapripombe"/>
    <w:uiPriority w:val="99"/>
    <w:semiHidden/>
    <w:rsid w:val="0032752E"/>
    <w:rPr>
      <w:b/>
      <w:bCs/>
      <w:kern w:val="2"/>
      <w:sz w:val="20"/>
      <w:szCs w:val="20"/>
      <w14:ligatures w14:val="standardContextual"/>
    </w:rPr>
  </w:style>
  <w:style w:type="paragraph" w:styleId="Glava">
    <w:name w:val="header"/>
    <w:basedOn w:val="Navaden"/>
    <w:link w:val="GlavaZnak"/>
    <w:uiPriority w:val="99"/>
    <w:unhideWhenUsed/>
    <w:rsid w:val="00E56C85"/>
    <w:pPr>
      <w:tabs>
        <w:tab w:val="center" w:pos="4536"/>
        <w:tab w:val="right" w:pos="9072"/>
      </w:tabs>
      <w:spacing w:after="0" w:line="240" w:lineRule="auto"/>
    </w:pPr>
  </w:style>
  <w:style w:type="character" w:customStyle="1" w:styleId="GlavaZnak">
    <w:name w:val="Glava Znak"/>
    <w:basedOn w:val="Privzetapisavaodstavka"/>
    <w:link w:val="Glava"/>
    <w:uiPriority w:val="99"/>
    <w:rsid w:val="00E56C85"/>
    <w:rPr>
      <w:kern w:val="2"/>
      <w14:ligatures w14:val="standardContextual"/>
    </w:rPr>
  </w:style>
  <w:style w:type="paragraph" w:styleId="Noga">
    <w:name w:val="footer"/>
    <w:basedOn w:val="Navaden"/>
    <w:link w:val="NogaZnak"/>
    <w:uiPriority w:val="99"/>
    <w:unhideWhenUsed/>
    <w:rsid w:val="00E56C85"/>
    <w:pPr>
      <w:tabs>
        <w:tab w:val="center" w:pos="4536"/>
        <w:tab w:val="right" w:pos="9072"/>
      </w:tabs>
      <w:spacing w:after="0" w:line="240" w:lineRule="auto"/>
    </w:pPr>
  </w:style>
  <w:style w:type="character" w:customStyle="1" w:styleId="NogaZnak">
    <w:name w:val="Noga Znak"/>
    <w:basedOn w:val="Privzetapisavaodstavka"/>
    <w:link w:val="Noga"/>
    <w:uiPriority w:val="99"/>
    <w:rsid w:val="00E56C85"/>
    <w:rPr>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9</Pages>
  <Words>2457</Words>
  <Characters>14007</Characters>
  <Application>Microsoft Office Word</Application>
  <DocSecurity>0</DocSecurity>
  <Lines>116</Lines>
  <Paragraphs>32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16432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Srečko Trunkelj</dc:creator>
  <cp:keywords/>
  <dc:description/>
  <cp:lastModifiedBy>Silvester Koren</cp:lastModifiedBy>
  <cp:revision>7</cp:revision>
  <cp:lastPrinted>2026-07-31T10:58:00Z</cp:lastPrinted>
  <dcterms:created xsi:type="dcterms:W3CDTF">2026-07-31T10:27:00Z</dcterms:created>
  <dcterms:modified xsi:type="dcterms:W3CDTF">2026-07-31T11:04:00Z</dcterms:modified>
</cp:coreProperties>
</file>